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949"/>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A60E5" w:rsidTr="000A60E5">
        <w:trPr>
          <w:trHeight w:val="1136"/>
        </w:trPr>
        <w:tc>
          <w:tcPr>
            <w:tcW w:w="3402" w:type="dxa"/>
            <w:tcBorders>
              <w:top w:val="nil"/>
              <w:left w:val="nil"/>
              <w:bottom w:val="nil"/>
              <w:right w:val="nil"/>
            </w:tcBorders>
            <w:hideMark/>
          </w:tcPr>
          <w:p w:rsidR="000A60E5" w:rsidRPr="00A762C6" w:rsidRDefault="000A60E5" w:rsidP="000A60E5">
            <w:pPr>
              <w:ind w:right="-114"/>
              <w:jc w:val="right"/>
              <w:rPr>
                <w:rFonts w:ascii="Times New Roman" w:hAnsi="Times New Roman" w:cs="Times New Roman"/>
              </w:rPr>
            </w:pPr>
            <w:r w:rsidRPr="00A762C6">
              <w:rPr>
                <w:rFonts w:ascii="Times New Roman" w:hAnsi="Times New Roman" w:cs="Times New Roman"/>
              </w:rPr>
              <w:t>Приложение к приказу</w:t>
            </w:r>
            <w:r>
              <w:rPr>
                <w:rFonts w:ascii="Times New Roman" w:hAnsi="Times New Roman" w:cs="Times New Roman"/>
              </w:rPr>
              <w:t xml:space="preserve">                 </w:t>
            </w:r>
            <w:r w:rsidRPr="00A762C6">
              <w:rPr>
                <w:rFonts w:ascii="Times New Roman" w:hAnsi="Times New Roman" w:cs="Times New Roman"/>
              </w:rPr>
              <w:t>Контрольно-счетной палаты Матвеево-Курганского района</w:t>
            </w:r>
            <w:r>
              <w:rPr>
                <w:rFonts w:ascii="Times New Roman" w:hAnsi="Times New Roman" w:cs="Times New Roman"/>
              </w:rPr>
              <w:t xml:space="preserve">            </w:t>
            </w:r>
            <w:r w:rsidRPr="000A60E5">
              <w:rPr>
                <w:rFonts w:ascii="Times New Roman" w:hAnsi="Times New Roman" w:cs="Times New Roman"/>
              </w:rPr>
              <w:t xml:space="preserve">от «02» декабря 2024 года № 41 </w:t>
            </w:r>
          </w:p>
        </w:tc>
      </w:tr>
    </w:tbl>
    <w:p w:rsidR="00A762C6" w:rsidRDefault="00A762C6" w:rsidP="00A762C6">
      <w:pPr>
        <w:pStyle w:val="Default"/>
        <w:jc w:val="center"/>
        <w:rPr>
          <w:b/>
          <w:noProof/>
          <w:color w:val="auto"/>
          <w:sz w:val="32"/>
          <w:szCs w:val="32"/>
        </w:rPr>
      </w:pPr>
    </w:p>
    <w:p w:rsidR="00A762C6" w:rsidRDefault="00A762C6" w:rsidP="00A762C6">
      <w:pPr>
        <w:pStyle w:val="Default"/>
        <w:jc w:val="center"/>
        <w:rPr>
          <w:b/>
          <w:noProof/>
          <w:color w:val="auto"/>
          <w:sz w:val="32"/>
          <w:szCs w:val="32"/>
        </w:rPr>
      </w:pPr>
    </w:p>
    <w:p w:rsidR="00A762C6" w:rsidRDefault="00A762C6" w:rsidP="00A762C6">
      <w:pPr>
        <w:pStyle w:val="Default"/>
        <w:jc w:val="center"/>
        <w:rPr>
          <w:b/>
          <w:noProof/>
          <w:color w:val="auto"/>
          <w:sz w:val="32"/>
          <w:szCs w:val="32"/>
        </w:rPr>
      </w:pPr>
    </w:p>
    <w:p w:rsidR="00A762C6" w:rsidRDefault="00A762C6" w:rsidP="00A762C6">
      <w:pPr>
        <w:pStyle w:val="Default"/>
        <w:jc w:val="center"/>
        <w:rPr>
          <w:b/>
          <w:noProof/>
          <w:color w:val="auto"/>
          <w:sz w:val="32"/>
          <w:szCs w:val="32"/>
        </w:rPr>
      </w:pPr>
    </w:p>
    <w:p w:rsidR="00A762C6" w:rsidRDefault="00A762C6" w:rsidP="00A762C6">
      <w:pPr>
        <w:pStyle w:val="Default"/>
        <w:jc w:val="center"/>
        <w:rPr>
          <w:b/>
          <w:noProof/>
          <w:color w:val="auto"/>
          <w:sz w:val="32"/>
          <w:szCs w:val="32"/>
        </w:rPr>
      </w:pPr>
      <w:r>
        <w:rPr>
          <w:b/>
          <w:noProof/>
          <w:color w:val="auto"/>
          <w:lang w:eastAsia="ru-RU"/>
        </w:rPr>
        <w:drawing>
          <wp:inline distT="0" distB="0" distL="0" distR="0">
            <wp:extent cx="617220" cy="746760"/>
            <wp:effectExtent l="0" t="0" r="0" b="0"/>
            <wp:docPr id="1" name="Рисунок 1"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твеево-Кургани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46760"/>
                    </a:xfrm>
                    <a:prstGeom prst="rect">
                      <a:avLst/>
                    </a:prstGeom>
                    <a:noFill/>
                    <a:ln>
                      <a:noFill/>
                    </a:ln>
                  </pic:spPr>
                </pic:pic>
              </a:graphicData>
            </a:graphic>
          </wp:inline>
        </w:drawing>
      </w:r>
    </w:p>
    <w:p w:rsidR="00A762C6" w:rsidRDefault="00A762C6" w:rsidP="00A762C6">
      <w:pPr>
        <w:pStyle w:val="Default"/>
        <w:jc w:val="center"/>
        <w:rPr>
          <w:b/>
          <w:bCs/>
          <w:color w:val="auto"/>
          <w:sz w:val="32"/>
          <w:szCs w:val="32"/>
        </w:rPr>
      </w:pPr>
      <w:r>
        <w:rPr>
          <w:b/>
          <w:bCs/>
          <w:color w:val="auto"/>
          <w:sz w:val="32"/>
          <w:szCs w:val="32"/>
        </w:rPr>
        <w:t>КОНТРОЛЬНО–СЧЕТНАЯ ПАЛАТА</w:t>
      </w:r>
    </w:p>
    <w:p w:rsidR="00A762C6" w:rsidRDefault="00A762C6" w:rsidP="00A762C6">
      <w:pPr>
        <w:pStyle w:val="Default"/>
        <w:jc w:val="center"/>
        <w:rPr>
          <w:b/>
          <w:bCs/>
          <w:color w:val="auto"/>
          <w:sz w:val="32"/>
          <w:szCs w:val="32"/>
        </w:rPr>
      </w:pPr>
      <w:r>
        <w:rPr>
          <w:b/>
          <w:bCs/>
          <w:color w:val="auto"/>
          <w:sz w:val="32"/>
          <w:szCs w:val="32"/>
        </w:rPr>
        <w:t xml:space="preserve">МАТВЕЕВО-КУРГАНСКОГО РАЙОНА </w:t>
      </w:r>
    </w:p>
    <w:p w:rsidR="00A762C6" w:rsidRDefault="00A762C6" w:rsidP="00A762C6">
      <w:pPr>
        <w:pStyle w:val="Default"/>
        <w:jc w:val="center"/>
        <w:rPr>
          <w:bCs/>
          <w:color w:val="auto"/>
          <w:sz w:val="32"/>
          <w:szCs w:val="32"/>
        </w:rPr>
      </w:pPr>
      <w:r>
        <w:rPr>
          <w:bCs/>
          <w:color w:val="auto"/>
          <w:sz w:val="32"/>
          <w:szCs w:val="32"/>
        </w:rPr>
        <w:t>Ростовской области</w:t>
      </w:r>
    </w:p>
    <w:p w:rsidR="00A762C6" w:rsidRDefault="00A762C6" w:rsidP="00A762C6">
      <w:pPr>
        <w:autoSpaceDE w:val="0"/>
        <w:autoSpaceDN w:val="0"/>
        <w:adjustRightInd w:val="0"/>
        <w:jc w:val="center"/>
        <w:rPr>
          <w:b/>
          <w:spacing w:val="-1"/>
          <w:sz w:val="32"/>
          <w:szCs w:val="32"/>
        </w:rPr>
      </w:pPr>
    </w:p>
    <w:p w:rsidR="00A762C6" w:rsidRDefault="00A762C6" w:rsidP="00A762C6">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СТАНДАРТ ВНЕШНЕГО МУНИЦИПАЛЬНОГО</w:t>
      </w:r>
    </w:p>
    <w:p w:rsidR="00A762C6" w:rsidRDefault="00A762C6" w:rsidP="00A762C6">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ФИНАНСОВОГО КОНТРОЛЯ</w:t>
      </w:r>
    </w:p>
    <w:p w:rsidR="00A762C6" w:rsidRDefault="00A762C6" w:rsidP="00A762C6">
      <w:pPr>
        <w:autoSpaceDE w:val="0"/>
        <w:autoSpaceDN w:val="0"/>
        <w:adjustRightInd w:val="0"/>
        <w:jc w:val="center"/>
        <w:rPr>
          <w:rFonts w:ascii="Times New Roman CYR" w:hAnsi="Times New Roman CYR" w:cs="Times New Roman CYR"/>
          <w:b/>
          <w:bCs/>
          <w:color w:val="000000"/>
          <w:sz w:val="28"/>
          <w:szCs w:val="28"/>
        </w:rPr>
      </w:pPr>
    </w:p>
    <w:p w:rsidR="00A762C6" w:rsidRPr="003D497B" w:rsidRDefault="00A762C6" w:rsidP="00A762C6">
      <w:pPr>
        <w:widowControl w:val="0"/>
        <w:spacing w:line="360" w:lineRule="exact"/>
        <w:jc w:val="center"/>
        <w:rPr>
          <w:rFonts w:ascii="Times New Roman" w:hAnsi="Times New Roman" w:cs="Times New Roman"/>
          <w:b/>
          <w:sz w:val="28"/>
          <w:szCs w:val="28"/>
        </w:rPr>
      </w:pPr>
      <w:r w:rsidRPr="003D497B">
        <w:rPr>
          <w:rFonts w:ascii="Times New Roman" w:hAnsi="Times New Roman" w:cs="Times New Roman"/>
          <w:b/>
          <w:sz w:val="28"/>
          <w:szCs w:val="28"/>
        </w:rPr>
        <w:t>«ПРОВЕРКА И АНАЛИЗ ЭФФЕКТИВНОСТИ ВНУТРЕННЕГО ФИНАНСОВОГО КОНТРОЛЯ И ВНУТРЕННЕГО</w:t>
      </w:r>
      <w:r w:rsidR="000A60E5">
        <w:rPr>
          <w:rFonts w:ascii="Times New Roman" w:hAnsi="Times New Roman" w:cs="Times New Roman"/>
          <w:b/>
          <w:sz w:val="28"/>
          <w:szCs w:val="28"/>
        </w:rPr>
        <w:t xml:space="preserve">                   </w:t>
      </w:r>
      <w:r w:rsidRPr="003D497B">
        <w:rPr>
          <w:rFonts w:ascii="Times New Roman" w:hAnsi="Times New Roman" w:cs="Times New Roman"/>
          <w:b/>
          <w:sz w:val="28"/>
          <w:szCs w:val="28"/>
        </w:rPr>
        <w:t>ФИНАНСОВОГО АУДИТА»</w:t>
      </w:r>
    </w:p>
    <w:p w:rsidR="00A762C6" w:rsidRDefault="00A762C6" w:rsidP="00A762C6">
      <w:pPr>
        <w:autoSpaceDE w:val="0"/>
        <w:autoSpaceDN w:val="0"/>
        <w:adjustRightInd w:val="0"/>
        <w:jc w:val="center"/>
        <w:rPr>
          <w:rFonts w:ascii="Times New Roman CYR" w:hAnsi="Times New Roman CYR" w:cs="Times New Roman CYR"/>
          <w:color w:val="000000"/>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r w:rsidRPr="00A762C6">
        <w:rPr>
          <w:rFonts w:ascii="Times New Roman CYR" w:hAnsi="Times New Roman CYR" w:cs="Times New Roman CYR"/>
          <w:sz w:val="28"/>
          <w:szCs w:val="28"/>
        </w:rPr>
        <w:t>Дата начала действия: с 0</w:t>
      </w:r>
      <w:r w:rsidR="000A60E5">
        <w:rPr>
          <w:rFonts w:ascii="Times New Roman CYR" w:hAnsi="Times New Roman CYR" w:cs="Times New Roman CYR"/>
          <w:sz w:val="28"/>
          <w:szCs w:val="28"/>
        </w:rPr>
        <w:t>2</w:t>
      </w:r>
      <w:r w:rsidRPr="00A762C6">
        <w:rPr>
          <w:rFonts w:ascii="Times New Roman CYR" w:hAnsi="Times New Roman CYR" w:cs="Times New Roman CYR"/>
          <w:sz w:val="28"/>
          <w:szCs w:val="28"/>
        </w:rPr>
        <w:t xml:space="preserve"> декабря 2024 года</w:t>
      </w:r>
    </w:p>
    <w:p w:rsidR="00A762C6" w:rsidRPr="00A762C6" w:rsidRDefault="00A762C6" w:rsidP="00A762C6">
      <w:pPr>
        <w:autoSpaceDE w:val="0"/>
        <w:autoSpaceDN w:val="0"/>
        <w:adjustRightInd w:val="0"/>
        <w:jc w:val="right"/>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p>
    <w:p w:rsidR="00A762C6" w:rsidRDefault="00A762C6" w:rsidP="00A762C6">
      <w:pPr>
        <w:autoSpaceDE w:val="0"/>
        <w:autoSpaceDN w:val="0"/>
        <w:adjustRightInd w:val="0"/>
        <w:jc w:val="center"/>
        <w:rPr>
          <w:rFonts w:ascii="Times New Roman CYR" w:hAnsi="Times New Roman CYR" w:cs="Times New Roman CYR"/>
          <w:sz w:val="28"/>
          <w:szCs w:val="28"/>
        </w:rPr>
      </w:pPr>
    </w:p>
    <w:p w:rsidR="000A60E5" w:rsidRPr="00A762C6" w:rsidRDefault="000A60E5" w:rsidP="00A762C6">
      <w:pPr>
        <w:autoSpaceDE w:val="0"/>
        <w:autoSpaceDN w:val="0"/>
        <w:adjustRightInd w:val="0"/>
        <w:jc w:val="center"/>
        <w:rPr>
          <w:rFonts w:ascii="Times New Roman CYR" w:hAnsi="Times New Roman CYR" w:cs="Times New Roman CYR"/>
          <w:sz w:val="28"/>
          <w:szCs w:val="28"/>
        </w:rPr>
      </w:pPr>
    </w:p>
    <w:p w:rsidR="00A762C6" w:rsidRPr="00A762C6" w:rsidRDefault="00A762C6" w:rsidP="00A762C6">
      <w:pPr>
        <w:autoSpaceDE w:val="0"/>
        <w:autoSpaceDN w:val="0"/>
        <w:adjustRightInd w:val="0"/>
        <w:jc w:val="center"/>
        <w:rPr>
          <w:rFonts w:ascii="Times New Roman CYR" w:hAnsi="Times New Roman CYR" w:cs="Times New Roman CYR"/>
          <w:sz w:val="28"/>
          <w:szCs w:val="28"/>
        </w:rPr>
      </w:pPr>
      <w:r w:rsidRPr="00A762C6">
        <w:rPr>
          <w:rFonts w:ascii="Times New Roman CYR" w:hAnsi="Times New Roman CYR" w:cs="Times New Roman CYR"/>
          <w:sz w:val="28"/>
          <w:szCs w:val="28"/>
        </w:rPr>
        <w:t>п. Матвеев Курган</w:t>
      </w:r>
    </w:p>
    <w:p w:rsidR="00A762C6" w:rsidRPr="00A762C6" w:rsidRDefault="00A762C6" w:rsidP="00A762C6">
      <w:pPr>
        <w:autoSpaceDE w:val="0"/>
        <w:autoSpaceDN w:val="0"/>
        <w:adjustRightInd w:val="0"/>
        <w:jc w:val="center"/>
        <w:rPr>
          <w:rFonts w:ascii="Times New Roman CYR" w:hAnsi="Times New Roman CYR" w:cs="Times New Roman CYR"/>
          <w:sz w:val="28"/>
          <w:szCs w:val="28"/>
          <w:highlight w:val="yellow"/>
        </w:rPr>
      </w:pPr>
      <w:r w:rsidRPr="00A762C6">
        <w:rPr>
          <w:rFonts w:ascii="Times New Roman CYR" w:hAnsi="Times New Roman CYR" w:cs="Times New Roman CYR"/>
          <w:sz w:val="28"/>
          <w:szCs w:val="28"/>
        </w:rPr>
        <w:t>2024</w:t>
      </w:r>
    </w:p>
    <w:p w:rsidR="008D6FC6" w:rsidRDefault="00CE17B2" w:rsidP="0018683B">
      <w:pPr>
        <w:jc w:val="center"/>
        <w:rPr>
          <w:rFonts w:ascii="Times New Roman" w:hAnsi="Times New Roman" w:cs="Times New Roman"/>
          <w:sz w:val="28"/>
          <w:szCs w:val="28"/>
        </w:rPr>
      </w:pPr>
      <w:r w:rsidRPr="00CE17B2">
        <w:rPr>
          <w:rFonts w:ascii="Times New Roman" w:hAnsi="Times New Roman" w:cs="Times New Roman"/>
          <w:sz w:val="28"/>
          <w:szCs w:val="28"/>
        </w:rPr>
        <w:lastRenderedPageBreak/>
        <w:t xml:space="preserve">СОДЕРЖАНИЕ </w:t>
      </w:r>
    </w:p>
    <w:sdt>
      <w:sdtPr>
        <w:rPr>
          <w:rFonts w:asciiTheme="minorHAnsi" w:eastAsiaTheme="minorHAnsi" w:hAnsiTheme="minorHAnsi" w:cstheme="minorBidi"/>
          <w:b w:val="0"/>
          <w:bCs w:val="0"/>
          <w:color w:val="auto"/>
          <w:sz w:val="22"/>
          <w:szCs w:val="22"/>
        </w:rPr>
        <w:id w:val="-1876730311"/>
        <w:docPartObj>
          <w:docPartGallery w:val="Table of Contents"/>
          <w:docPartUnique/>
        </w:docPartObj>
      </w:sdtPr>
      <w:sdtEndPr>
        <w:rPr>
          <w:rFonts w:ascii="Times New Roman" w:hAnsi="Times New Roman" w:cs="Times New Roman"/>
          <w:sz w:val="28"/>
          <w:szCs w:val="28"/>
        </w:rPr>
      </w:sdtEndPr>
      <w:sdtContent>
        <w:p w:rsidR="004B2C33" w:rsidRDefault="004B2C33">
          <w:pPr>
            <w:pStyle w:val="a5"/>
          </w:pPr>
        </w:p>
        <w:p w:rsidR="002B7A57" w:rsidRPr="00FD1201" w:rsidRDefault="00401B68">
          <w:pPr>
            <w:pStyle w:val="11"/>
            <w:tabs>
              <w:tab w:val="left" w:pos="440"/>
              <w:tab w:val="right" w:leader="dot" w:pos="9345"/>
            </w:tabs>
            <w:rPr>
              <w:rFonts w:ascii="Times New Roman" w:eastAsiaTheme="minorEastAsia" w:hAnsi="Times New Roman" w:cs="Times New Roman"/>
              <w:noProof/>
              <w:sz w:val="28"/>
              <w:szCs w:val="28"/>
              <w:lang w:eastAsia="ru-RU"/>
            </w:rPr>
          </w:pPr>
          <w:r w:rsidRPr="00FD1201">
            <w:rPr>
              <w:rFonts w:ascii="Times New Roman" w:hAnsi="Times New Roman" w:cs="Times New Roman"/>
              <w:sz w:val="28"/>
              <w:szCs w:val="28"/>
            </w:rPr>
            <w:fldChar w:fldCharType="begin"/>
          </w:r>
          <w:r w:rsidR="004B2C33" w:rsidRPr="00FD1201">
            <w:rPr>
              <w:rFonts w:ascii="Times New Roman" w:hAnsi="Times New Roman" w:cs="Times New Roman"/>
              <w:sz w:val="28"/>
              <w:szCs w:val="28"/>
            </w:rPr>
            <w:instrText xml:space="preserve"> TOC \o "1-3" \h \z \u </w:instrText>
          </w:r>
          <w:r w:rsidRPr="00FD1201">
            <w:rPr>
              <w:rFonts w:ascii="Times New Roman" w:hAnsi="Times New Roman" w:cs="Times New Roman"/>
              <w:sz w:val="28"/>
              <w:szCs w:val="28"/>
            </w:rPr>
            <w:fldChar w:fldCharType="separate"/>
          </w:r>
          <w:hyperlink w:anchor="_Toc342239" w:history="1">
            <w:r w:rsidR="002B7A57" w:rsidRPr="00FD1201">
              <w:rPr>
                <w:rStyle w:val="a9"/>
                <w:rFonts w:ascii="Times New Roman" w:hAnsi="Times New Roman" w:cs="Times New Roman"/>
                <w:noProof/>
                <w:sz w:val="28"/>
                <w:szCs w:val="28"/>
              </w:rPr>
              <w:t>1.</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hAnsi="Times New Roman" w:cs="Times New Roman"/>
                <w:noProof/>
                <w:sz w:val="28"/>
                <w:szCs w:val="28"/>
              </w:rPr>
              <w:t>Общие положения</w:t>
            </w:r>
            <w:r w:rsidR="002B7A57" w:rsidRPr="00FD1201">
              <w:rPr>
                <w:rFonts w:ascii="Times New Roman" w:hAnsi="Times New Roman" w:cs="Times New Roman"/>
                <w:noProof/>
                <w:webHidden/>
                <w:sz w:val="28"/>
                <w:szCs w:val="28"/>
              </w:rPr>
              <w:tab/>
            </w:r>
            <w:r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_Toc342239 \h </w:instrText>
            </w:r>
            <w:r w:rsidRPr="00FD1201">
              <w:rPr>
                <w:rFonts w:ascii="Times New Roman" w:hAnsi="Times New Roman" w:cs="Times New Roman"/>
                <w:noProof/>
                <w:webHidden/>
                <w:sz w:val="28"/>
                <w:szCs w:val="28"/>
              </w:rPr>
            </w:r>
            <w:r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3</w:t>
            </w:r>
            <w:r w:rsidRPr="00FD1201">
              <w:rPr>
                <w:rFonts w:ascii="Times New Roman" w:hAnsi="Times New Roman" w:cs="Times New Roman"/>
                <w:noProof/>
                <w:webHidden/>
                <w:sz w:val="28"/>
                <w:szCs w:val="28"/>
              </w:rPr>
              <w:fldChar w:fldCharType="end"/>
            </w:r>
          </w:hyperlink>
        </w:p>
        <w:p w:rsidR="002B7A57" w:rsidRPr="00FD1201" w:rsidRDefault="0034024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342240" w:history="1">
            <w:r w:rsidR="002B7A57" w:rsidRPr="00FD1201">
              <w:rPr>
                <w:rStyle w:val="a9"/>
                <w:rFonts w:ascii="Times New Roman" w:eastAsiaTheme="majorEastAsia" w:hAnsi="Times New Roman" w:cs="Times New Roman"/>
                <w:bCs/>
                <w:noProof/>
                <w:sz w:val="28"/>
                <w:szCs w:val="28"/>
              </w:rPr>
              <w:t>2.</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eastAsiaTheme="majorEastAsia" w:hAnsi="Times New Roman" w:cs="Times New Roman"/>
                <w:bCs/>
                <w:noProof/>
                <w:sz w:val="28"/>
                <w:szCs w:val="28"/>
              </w:rPr>
              <w:t>Содержание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_Toc342240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4</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342241" w:history="1">
            <w:r w:rsidR="002B7A57" w:rsidRPr="00FD1201">
              <w:rPr>
                <w:rStyle w:val="a9"/>
                <w:rFonts w:ascii="Times New Roman" w:eastAsiaTheme="majorEastAsia" w:hAnsi="Times New Roman" w:cs="Times New Roman"/>
                <w:bCs/>
                <w:noProof/>
                <w:sz w:val="28"/>
                <w:szCs w:val="28"/>
              </w:rPr>
              <w:t>3.</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eastAsiaTheme="majorEastAsia" w:hAnsi="Times New Roman" w:cs="Times New Roman"/>
                <w:bCs/>
                <w:noProof/>
                <w:sz w:val="28"/>
                <w:szCs w:val="28"/>
              </w:rPr>
              <w:t>Цели, задачи, предмет проведения проверки и анализа эффективности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_Toc342241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5</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342242" w:history="1">
            <w:r w:rsidR="002B7A57" w:rsidRPr="00FD1201">
              <w:rPr>
                <w:rStyle w:val="a9"/>
                <w:rFonts w:ascii="Times New Roman" w:eastAsiaTheme="majorEastAsia" w:hAnsi="Times New Roman" w:cs="Times New Roman"/>
                <w:bCs/>
                <w:noProof/>
                <w:sz w:val="28"/>
                <w:szCs w:val="28"/>
              </w:rPr>
              <w:t>4.</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eastAsiaTheme="majorEastAsia" w:hAnsi="Times New Roman" w:cs="Times New Roman"/>
                <w:bCs/>
                <w:noProof/>
                <w:sz w:val="28"/>
                <w:szCs w:val="28"/>
              </w:rPr>
              <w:t>Подготовка к проведению и периодичность проведения проверки и анализа эффективности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_Toc342242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6</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342243" w:history="1">
            <w:r w:rsidR="002B7A57" w:rsidRPr="00FD1201">
              <w:rPr>
                <w:rStyle w:val="a9"/>
                <w:rFonts w:ascii="Times New Roman" w:eastAsiaTheme="majorEastAsia" w:hAnsi="Times New Roman" w:cs="Times New Roman"/>
                <w:bCs/>
                <w:noProof/>
                <w:sz w:val="28"/>
                <w:szCs w:val="28"/>
              </w:rPr>
              <w:t>5.</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eastAsiaTheme="majorEastAsia" w:hAnsi="Times New Roman" w:cs="Times New Roman"/>
                <w:bCs/>
                <w:noProof/>
                <w:sz w:val="28"/>
                <w:szCs w:val="28"/>
              </w:rPr>
              <w:t>Проверка и анализ эффективности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_Toc342243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7</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left" w:pos="440"/>
              <w:tab w:val="right" w:leader="dot" w:pos="9345"/>
            </w:tabs>
            <w:rPr>
              <w:rFonts w:ascii="Times New Roman" w:eastAsiaTheme="minorEastAsia" w:hAnsi="Times New Roman" w:cs="Times New Roman"/>
              <w:noProof/>
              <w:sz w:val="28"/>
              <w:szCs w:val="28"/>
              <w:lang w:eastAsia="ru-RU"/>
            </w:rPr>
          </w:pPr>
          <w:hyperlink w:anchor="_Toc342244" w:history="1">
            <w:r w:rsidR="002B7A57" w:rsidRPr="00FD1201">
              <w:rPr>
                <w:rStyle w:val="a9"/>
                <w:rFonts w:ascii="Times New Roman" w:hAnsi="Times New Roman" w:cs="Times New Roman"/>
                <w:noProof/>
                <w:sz w:val="28"/>
                <w:szCs w:val="28"/>
              </w:rPr>
              <w:t>6.</w:t>
            </w:r>
            <w:r w:rsidR="002B7A57" w:rsidRPr="00FD1201">
              <w:rPr>
                <w:rFonts w:ascii="Times New Roman" w:eastAsiaTheme="minorEastAsia" w:hAnsi="Times New Roman" w:cs="Times New Roman"/>
                <w:noProof/>
                <w:sz w:val="28"/>
                <w:szCs w:val="28"/>
                <w:lang w:eastAsia="ru-RU"/>
              </w:rPr>
              <w:tab/>
            </w:r>
            <w:r w:rsidR="002B7A57" w:rsidRPr="00FD1201">
              <w:rPr>
                <w:rStyle w:val="a9"/>
                <w:rFonts w:ascii="Times New Roman" w:hAnsi="Times New Roman" w:cs="Times New Roman"/>
                <w:noProof/>
                <w:sz w:val="28"/>
                <w:szCs w:val="28"/>
              </w:rPr>
              <w:t>Заключительные положения</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_Toc342244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10</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right" w:leader="dot" w:pos="9345"/>
            </w:tabs>
            <w:rPr>
              <w:rFonts w:ascii="Times New Roman" w:eastAsiaTheme="minorEastAsia" w:hAnsi="Times New Roman" w:cs="Times New Roman"/>
              <w:noProof/>
              <w:sz w:val="28"/>
              <w:szCs w:val="28"/>
              <w:lang w:eastAsia="ru-RU"/>
            </w:rPr>
          </w:pPr>
          <w:hyperlink w:anchor="_Toc342245" w:history="1">
            <w:r w:rsidR="002B7A57" w:rsidRPr="00FD1201">
              <w:rPr>
                <w:rStyle w:val="a9"/>
                <w:rFonts w:ascii="Times New Roman" w:eastAsiaTheme="majorEastAsia" w:hAnsi="Times New Roman" w:cs="Times New Roman"/>
                <w:bCs/>
                <w:noProof/>
                <w:sz w:val="28"/>
                <w:szCs w:val="28"/>
              </w:rPr>
              <w:t>Приложение № 1    Перечень вопросов оценки внутреннего финансового аудита, осуществляемого главным администратором бюджетных средств, администратором бюджетных средств</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_Toc342245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13</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right" w:leader="dot" w:pos="9345"/>
            </w:tabs>
            <w:rPr>
              <w:rFonts w:ascii="Times New Roman" w:eastAsiaTheme="minorEastAsia" w:hAnsi="Times New Roman" w:cs="Times New Roman"/>
              <w:noProof/>
              <w:sz w:val="28"/>
              <w:szCs w:val="28"/>
              <w:lang w:eastAsia="ru-RU"/>
            </w:rPr>
          </w:pPr>
          <w:hyperlink w:anchor="_Toc342246" w:history="1">
            <w:r w:rsidR="002B7A57" w:rsidRPr="00FD1201">
              <w:rPr>
                <w:rStyle w:val="a9"/>
                <w:rFonts w:ascii="Times New Roman" w:eastAsiaTheme="majorEastAsia" w:hAnsi="Times New Roman" w:cs="Times New Roman"/>
                <w:bCs/>
                <w:noProof/>
                <w:sz w:val="28"/>
                <w:szCs w:val="28"/>
              </w:rPr>
              <w:t>Приложение № 2   Интегральная оценка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_Toc342246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20</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right" w:leader="dot" w:pos="9345"/>
            </w:tabs>
            <w:rPr>
              <w:rFonts w:ascii="Times New Roman" w:eastAsiaTheme="minorEastAsia" w:hAnsi="Times New Roman" w:cs="Times New Roman"/>
              <w:noProof/>
              <w:sz w:val="28"/>
              <w:szCs w:val="28"/>
              <w:lang w:eastAsia="ru-RU"/>
            </w:rPr>
          </w:pPr>
          <w:hyperlink w:anchor="_Toc342247" w:history="1">
            <w:r w:rsidR="002B7A57" w:rsidRPr="00FD1201">
              <w:rPr>
                <w:rStyle w:val="a9"/>
                <w:rFonts w:ascii="Times New Roman" w:eastAsiaTheme="majorEastAsia" w:hAnsi="Times New Roman" w:cs="Times New Roman"/>
                <w:bCs/>
                <w:noProof/>
                <w:sz w:val="28"/>
                <w:szCs w:val="28"/>
              </w:rPr>
              <w:t>Приложение № 3   Результаты деятельности субъекта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_Toc342247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21</w:t>
            </w:r>
            <w:r w:rsidR="00401B68" w:rsidRPr="00FD1201">
              <w:rPr>
                <w:rFonts w:ascii="Times New Roman" w:hAnsi="Times New Roman" w:cs="Times New Roman"/>
                <w:noProof/>
                <w:webHidden/>
                <w:sz w:val="28"/>
                <w:szCs w:val="28"/>
              </w:rPr>
              <w:fldChar w:fldCharType="end"/>
            </w:r>
          </w:hyperlink>
        </w:p>
        <w:p w:rsidR="002B7A57" w:rsidRPr="00FD1201" w:rsidRDefault="0034024D">
          <w:pPr>
            <w:pStyle w:val="11"/>
            <w:tabs>
              <w:tab w:val="right" w:leader="dot" w:pos="9345"/>
            </w:tabs>
            <w:rPr>
              <w:rFonts w:ascii="Times New Roman" w:eastAsiaTheme="minorEastAsia" w:hAnsi="Times New Roman" w:cs="Times New Roman"/>
              <w:noProof/>
              <w:sz w:val="28"/>
              <w:szCs w:val="28"/>
              <w:lang w:eastAsia="ru-RU"/>
            </w:rPr>
          </w:pPr>
          <w:hyperlink w:anchor="_Toc342248" w:history="1">
            <w:r w:rsidR="002B7A57" w:rsidRPr="00FD1201">
              <w:rPr>
                <w:rStyle w:val="a9"/>
                <w:rFonts w:ascii="Times New Roman" w:eastAsiaTheme="majorEastAsia" w:hAnsi="Times New Roman" w:cs="Times New Roman"/>
                <w:bCs/>
                <w:noProof/>
                <w:sz w:val="28"/>
                <w:szCs w:val="28"/>
              </w:rPr>
              <w:t xml:space="preserve">Таблица к приложению № 1 </w:t>
            </w:r>
            <w:r w:rsidR="002B7A57" w:rsidRPr="00FD1201">
              <w:rPr>
                <w:rStyle w:val="a9"/>
                <w:rFonts w:ascii="Times New Roman" w:hAnsi="Times New Roman" w:cs="Times New Roman"/>
                <w:noProof/>
                <w:sz w:val="28"/>
                <w:szCs w:val="28"/>
              </w:rPr>
              <w:t xml:space="preserve"> Численность и кадровый состав субъекта внутреннего финансового аудита</w:t>
            </w:r>
            <w:r w:rsidR="002B7A57" w:rsidRPr="00FD1201">
              <w:rPr>
                <w:rFonts w:ascii="Times New Roman" w:hAnsi="Times New Roman" w:cs="Times New Roman"/>
                <w:noProof/>
                <w:webHidden/>
                <w:sz w:val="28"/>
                <w:szCs w:val="28"/>
              </w:rPr>
              <w:tab/>
            </w:r>
            <w:r w:rsidR="00401B68" w:rsidRPr="00FD1201">
              <w:rPr>
                <w:rFonts w:ascii="Times New Roman" w:hAnsi="Times New Roman" w:cs="Times New Roman"/>
                <w:noProof/>
                <w:webHidden/>
                <w:sz w:val="28"/>
                <w:szCs w:val="28"/>
              </w:rPr>
              <w:fldChar w:fldCharType="begin"/>
            </w:r>
            <w:r w:rsidR="002B7A57" w:rsidRPr="00FD1201">
              <w:rPr>
                <w:rFonts w:ascii="Times New Roman" w:hAnsi="Times New Roman" w:cs="Times New Roman"/>
                <w:noProof/>
                <w:webHidden/>
                <w:sz w:val="28"/>
                <w:szCs w:val="28"/>
              </w:rPr>
              <w:instrText xml:space="preserve"> PAGEREF _Toc342248 \h </w:instrText>
            </w:r>
            <w:r w:rsidR="00401B68" w:rsidRPr="00FD1201">
              <w:rPr>
                <w:rFonts w:ascii="Times New Roman" w:hAnsi="Times New Roman" w:cs="Times New Roman"/>
                <w:noProof/>
                <w:webHidden/>
                <w:sz w:val="28"/>
                <w:szCs w:val="28"/>
              </w:rPr>
            </w:r>
            <w:r w:rsidR="00401B68" w:rsidRPr="00FD1201">
              <w:rPr>
                <w:rFonts w:ascii="Times New Roman" w:hAnsi="Times New Roman" w:cs="Times New Roman"/>
                <w:noProof/>
                <w:webHidden/>
                <w:sz w:val="28"/>
                <w:szCs w:val="28"/>
              </w:rPr>
              <w:fldChar w:fldCharType="separate"/>
            </w:r>
            <w:r w:rsidR="00C626E0">
              <w:rPr>
                <w:rFonts w:ascii="Times New Roman" w:hAnsi="Times New Roman" w:cs="Times New Roman"/>
                <w:noProof/>
                <w:webHidden/>
                <w:sz w:val="28"/>
                <w:szCs w:val="28"/>
              </w:rPr>
              <w:t>22</w:t>
            </w:r>
            <w:r w:rsidR="00401B68" w:rsidRPr="00FD1201">
              <w:rPr>
                <w:rFonts w:ascii="Times New Roman" w:hAnsi="Times New Roman" w:cs="Times New Roman"/>
                <w:noProof/>
                <w:webHidden/>
                <w:sz w:val="28"/>
                <w:szCs w:val="28"/>
              </w:rPr>
              <w:fldChar w:fldCharType="end"/>
            </w:r>
          </w:hyperlink>
        </w:p>
        <w:p w:rsidR="004B2C33" w:rsidRPr="00FD1201" w:rsidRDefault="00401B68">
          <w:pPr>
            <w:rPr>
              <w:rFonts w:ascii="Times New Roman" w:hAnsi="Times New Roman" w:cs="Times New Roman"/>
              <w:sz w:val="28"/>
              <w:szCs w:val="28"/>
            </w:rPr>
          </w:pPr>
          <w:r w:rsidRPr="00FD1201">
            <w:rPr>
              <w:rFonts w:ascii="Times New Roman" w:hAnsi="Times New Roman" w:cs="Times New Roman"/>
              <w:sz w:val="28"/>
              <w:szCs w:val="28"/>
            </w:rPr>
            <w:fldChar w:fldCharType="end"/>
          </w:r>
        </w:p>
      </w:sdtContent>
    </w:sdt>
    <w:p w:rsidR="008D6FC6" w:rsidRDefault="008D6FC6">
      <w:pPr>
        <w:rPr>
          <w:rFonts w:ascii="Times New Roman" w:hAnsi="Times New Roman" w:cs="Times New Roman"/>
          <w:color w:val="000000" w:themeColor="text1"/>
          <w:sz w:val="28"/>
          <w:szCs w:val="28"/>
        </w:rPr>
      </w:pPr>
      <w:r w:rsidRPr="009727B6">
        <w:rPr>
          <w:rFonts w:ascii="Times New Roman" w:hAnsi="Times New Roman" w:cs="Times New Roman"/>
          <w:color w:val="000000" w:themeColor="text1"/>
          <w:sz w:val="28"/>
          <w:szCs w:val="28"/>
        </w:rPr>
        <w:br w:type="page"/>
      </w:r>
    </w:p>
    <w:p w:rsidR="008D6FC6" w:rsidRDefault="008D6FC6" w:rsidP="008D6FC6">
      <w:pPr>
        <w:pStyle w:val="1"/>
        <w:numPr>
          <w:ilvl w:val="0"/>
          <w:numId w:val="1"/>
        </w:numPr>
        <w:jc w:val="center"/>
        <w:rPr>
          <w:rFonts w:ascii="Times New Roman" w:hAnsi="Times New Roman" w:cs="Times New Roman"/>
          <w:color w:val="000000" w:themeColor="text1"/>
        </w:rPr>
      </w:pPr>
      <w:bookmarkStart w:id="0" w:name="_Toc342239"/>
      <w:r w:rsidRPr="008D6FC6">
        <w:rPr>
          <w:rFonts w:ascii="Times New Roman" w:hAnsi="Times New Roman" w:cs="Times New Roman"/>
          <w:color w:val="000000" w:themeColor="text1"/>
        </w:rPr>
        <w:lastRenderedPageBreak/>
        <w:t>Общие положения</w:t>
      </w:r>
      <w:bookmarkEnd w:id="0"/>
    </w:p>
    <w:p w:rsidR="008D6FC6" w:rsidRDefault="008D6FC6" w:rsidP="008D6FC6"/>
    <w:p w:rsidR="00625746" w:rsidRPr="00C8456F" w:rsidRDefault="008D6FC6" w:rsidP="00A762C6">
      <w:pPr>
        <w:pStyle w:val="a8"/>
        <w:numPr>
          <w:ilvl w:val="0"/>
          <w:numId w:val="2"/>
        </w:numPr>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Стандарт внешнего </w:t>
      </w:r>
      <w:r w:rsidR="000C5A38" w:rsidRPr="00C8456F">
        <w:rPr>
          <w:rFonts w:ascii="Times New Roman" w:hAnsi="Times New Roman" w:cs="Times New Roman"/>
          <w:sz w:val="28"/>
          <w:szCs w:val="28"/>
        </w:rPr>
        <w:t xml:space="preserve">муниципального </w:t>
      </w:r>
      <w:r w:rsidRPr="00C8456F">
        <w:rPr>
          <w:rFonts w:ascii="Times New Roman" w:hAnsi="Times New Roman" w:cs="Times New Roman"/>
          <w:sz w:val="28"/>
          <w:szCs w:val="28"/>
        </w:rPr>
        <w:t>финансового контроля</w:t>
      </w:r>
      <w:r w:rsidR="000C5A38" w:rsidRPr="00C8456F">
        <w:rPr>
          <w:rFonts w:ascii="Times New Roman" w:hAnsi="Times New Roman" w:cs="Times New Roman"/>
          <w:sz w:val="28"/>
          <w:szCs w:val="28"/>
        </w:rPr>
        <w:t xml:space="preserve"> </w:t>
      </w:r>
      <w:r w:rsidRPr="00C8456F">
        <w:rPr>
          <w:rFonts w:ascii="Times New Roman" w:hAnsi="Times New Roman" w:cs="Times New Roman"/>
          <w:sz w:val="28"/>
          <w:szCs w:val="28"/>
        </w:rPr>
        <w:t>«Проверка и анализ эффективности внутреннего финансового аудита»</w:t>
      </w:r>
      <w:r w:rsidR="000D0E9F" w:rsidRPr="00C8456F">
        <w:rPr>
          <w:rFonts w:ascii="Times New Roman" w:hAnsi="Times New Roman" w:cs="Times New Roman"/>
          <w:sz w:val="28"/>
          <w:szCs w:val="28"/>
        </w:rPr>
        <w:t>, осуществляемых главными администраторами бюджетных средств</w:t>
      </w:r>
      <w:r w:rsidRPr="00C8456F">
        <w:rPr>
          <w:rFonts w:ascii="Times New Roman" w:hAnsi="Times New Roman" w:cs="Times New Roman"/>
          <w:sz w:val="28"/>
          <w:szCs w:val="28"/>
        </w:rPr>
        <w:t xml:space="preserve"> (далее</w:t>
      </w:r>
      <w:r w:rsidR="000C5A38" w:rsidRPr="00C8456F">
        <w:rPr>
          <w:rFonts w:ascii="Times New Roman" w:hAnsi="Times New Roman" w:cs="Times New Roman"/>
          <w:sz w:val="28"/>
          <w:szCs w:val="28"/>
        </w:rPr>
        <w:t xml:space="preserve"> </w:t>
      </w:r>
      <w:r w:rsidRPr="00C8456F">
        <w:rPr>
          <w:rFonts w:ascii="Times New Roman" w:hAnsi="Times New Roman" w:cs="Times New Roman"/>
          <w:sz w:val="28"/>
          <w:szCs w:val="28"/>
        </w:rPr>
        <w:t xml:space="preserve">– Стандарт) </w:t>
      </w:r>
      <w:r w:rsidR="00625746" w:rsidRPr="00C8456F">
        <w:rPr>
          <w:rFonts w:ascii="Times New Roman" w:hAnsi="Times New Roman" w:cs="Times New Roman"/>
          <w:sz w:val="28"/>
          <w:szCs w:val="28"/>
        </w:rPr>
        <w:t xml:space="preserve">предназначен для методологического обеспечения реализации Контрольно-счетной палатой </w:t>
      </w:r>
      <w:r w:rsidR="00C61824" w:rsidRPr="00C8456F">
        <w:rPr>
          <w:rFonts w:ascii="Times New Roman" w:hAnsi="Times New Roman" w:cs="Times New Roman"/>
          <w:sz w:val="28"/>
          <w:szCs w:val="28"/>
        </w:rPr>
        <w:t>Матвеево-Курганского района</w:t>
      </w:r>
      <w:r w:rsidR="00625746" w:rsidRPr="00C8456F">
        <w:rPr>
          <w:rFonts w:ascii="Times New Roman" w:hAnsi="Times New Roman" w:cs="Times New Roman"/>
          <w:sz w:val="28"/>
          <w:szCs w:val="28"/>
        </w:rPr>
        <w:t xml:space="preserve"> бюджетных полномочий, установленных ст. 157 Бюджетного кодекса РФ, по подготовке предложений по совершенствованию внутреннего финансового контроля и внутреннего финансового аудита, осуществляемых главными администраторами бюджетных средств.</w:t>
      </w:r>
    </w:p>
    <w:p w:rsidR="00AF7624" w:rsidRPr="00C8456F" w:rsidRDefault="00DC41FB" w:rsidP="00A762C6">
      <w:pPr>
        <w:pStyle w:val="a8"/>
        <w:numPr>
          <w:ilvl w:val="0"/>
          <w:numId w:val="2"/>
        </w:numPr>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Стандарт разработан на основании Федерального закона от 07.02.2011 № 6-ФЗ «Об общих принципах организации и деятельности контрольно-счетных органов субъектов Российской Федерации</w:t>
      </w:r>
      <w:r w:rsidR="00C61824" w:rsidRPr="00C8456F">
        <w:rPr>
          <w:rFonts w:ascii="Times New Roman" w:hAnsi="Times New Roman" w:cs="Times New Roman"/>
          <w:sz w:val="28"/>
          <w:szCs w:val="28"/>
        </w:rPr>
        <w:t>, федеральных территорий</w:t>
      </w:r>
      <w:r w:rsidRPr="00C8456F">
        <w:rPr>
          <w:rFonts w:ascii="Times New Roman" w:hAnsi="Times New Roman" w:cs="Times New Roman"/>
          <w:sz w:val="28"/>
          <w:szCs w:val="28"/>
        </w:rPr>
        <w:t xml:space="preserve"> и муниципальных образований», </w:t>
      </w:r>
      <w:r w:rsidR="000C5A38" w:rsidRPr="00C8456F">
        <w:rPr>
          <w:rFonts w:ascii="Times New Roman" w:hAnsi="Times New Roman" w:cs="Times New Roman"/>
          <w:sz w:val="28"/>
          <w:szCs w:val="28"/>
        </w:rPr>
        <w:t>Положение</w:t>
      </w:r>
      <w:r w:rsidRPr="00C8456F">
        <w:rPr>
          <w:rFonts w:ascii="Times New Roman" w:hAnsi="Times New Roman" w:cs="Times New Roman"/>
          <w:sz w:val="28"/>
          <w:szCs w:val="28"/>
        </w:rPr>
        <w:t>м</w:t>
      </w:r>
      <w:r w:rsidR="000C5A38" w:rsidRPr="00C8456F">
        <w:rPr>
          <w:rFonts w:ascii="Times New Roman" w:hAnsi="Times New Roman" w:cs="Times New Roman"/>
          <w:sz w:val="28"/>
          <w:szCs w:val="28"/>
        </w:rPr>
        <w:t xml:space="preserve"> о Контрольно-счетной палате</w:t>
      </w:r>
      <w:r w:rsidRPr="00C8456F">
        <w:rPr>
          <w:rFonts w:ascii="Times New Roman" w:hAnsi="Times New Roman" w:cs="Times New Roman"/>
          <w:sz w:val="28"/>
          <w:szCs w:val="28"/>
        </w:rPr>
        <w:t xml:space="preserve"> </w:t>
      </w:r>
      <w:r w:rsidR="00C61824" w:rsidRPr="00C8456F">
        <w:rPr>
          <w:rFonts w:ascii="Times New Roman" w:hAnsi="Times New Roman" w:cs="Times New Roman"/>
          <w:sz w:val="28"/>
          <w:szCs w:val="28"/>
        </w:rPr>
        <w:t>Матвеево-Курганского района</w:t>
      </w:r>
      <w:r w:rsidR="008D6FC6" w:rsidRPr="00C8456F">
        <w:rPr>
          <w:rFonts w:ascii="Times New Roman" w:hAnsi="Times New Roman" w:cs="Times New Roman"/>
          <w:sz w:val="28"/>
          <w:szCs w:val="28"/>
        </w:rPr>
        <w:t>, других нормативных правовых актов Российской Федерации</w:t>
      </w:r>
      <w:r w:rsidR="000C5A38" w:rsidRPr="00C8456F">
        <w:rPr>
          <w:rFonts w:ascii="Times New Roman" w:hAnsi="Times New Roman" w:cs="Times New Roman"/>
          <w:sz w:val="28"/>
          <w:szCs w:val="28"/>
        </w:rPr>
        <w:t xml:space="preserve">, </w:t>
      </w:r>
      <w:r w:rsidR="008D6FC6" w:rsidRPr="00C8456F">
        <w:rPr>
          <w:rFonts w:ascii="Times New Roman" w:hAnsi="Times New Roman" w:cs="Times New Roman"/>
          <w:sz w:val="28"/>
          <w:szCs w:val="28"/>
        </w:rPr>
        <w:t>Ростовской области, стандарта внешнего государственного аудита</w:t>
      </w:r>
      <w:r w:rsidR="000C5A38" w:rsidRPr="00C8456F">
        <w:rPr>
          <w:rFonts w:ascii="Times New Roman" w:hAnsi="Times New Roman" w:cs="Times New Roman"/>
          <w:sz w:val="28"/>
          <w:szCs w:val="28"/>
        </w:rPr>
        <w:t xml:space="preserve"> </w:t>
      </w:r>
      <w:r w:rsidR="008D6FC6" w:rsidRPr="00C8456F">
        <w:rPr>
          <w:rFonts w:ascii="Times New Roman" w:hAnsi="Times New Roman" w:cs="Times New Roman"/>
          <w:sz w:val="28"/>
          <w:szCs w:val="28"/>
        </w:rPr>
        <w:t>(контроля) СГА 311 «Проверка и анализ эффективности внутреннего</w:t>
      </w:r>
      <w:r w:rsidR="00EA4C41" w:rsidRPr="00C8456F">
        <w:rPr>
          <w:rFonts w:ascii="Times New Roman" w:hAnsi="Times New Roman" w:cs="Times New Roman"/>
          <w:sz w:val="28"/>
          <w:szCs w:val="28"/>
        </w:rPr>
        <w:t xml:space="preserve"> </w:t>
      </w:r>
      <w:r w:rsidR="000C5A38" w:rsidRPr="00C8456F">
        <w:rPr>
          <w:rFonts w:ascii="Times New Roman" w:hAnsi="Times New Roman" w:cs="Times New Roman"/>
          <w:sz w:val="28"/>
          <w:szCs w:val="28"/>
        </w:rPr>
        <w:t xml:space="preserve">финансового аудита», </w:t>
      </w:r>
      <w:r w:rsidR="008D6FC6" w:rsidRPr="00C8456F">
        <w:rPr>
          <w:rFonts w:ascii="Times New Roman" w:hAnsi="Times New Roman" w:cs="Times New Roman"/>
          <w:sz w:val="28"/>
          <w:szCs w:val="28"/>
        </w:rPr>
        <w:t>утвержденного Коллегией Счетной палаты Российской</w:t>
      </w:r>
      <w:r w:rsidR="000C5A38" w:rsidRPr="00C8456F">
        <w:rPr>
          <w:rFonts w:ascii="Times New Roman" w:hAnsi="Times New Roman" w:cs="Times New Roman"/>
          <w:sz w:val="28"/>
          <w:szCs w:val="28"/>
        </w:rPr>
        <w:t xml:space="preserve"> </w:t>
      </w:r>
      <w:r w:rsidR="008D6FC6" w:rsidRPr="00C8456F">
        <w:rPr>
          <w:rFonts w:ascii="Times New Roman" w:hAnsi="Times New Roman" w:cs="Times New Roman"/>
          <w:sz w:val="28"/>
          <w:szCs w:val="28"/>
        </w:rPr>
        <w:t>Федерации (протокол от 10 июля 2015 года №32К (1043), а также стандартов</w:t>
      </w:r>
      <w:r w:rsidR="000C5A38" w:rsidRPr="00C8456F">
        <w:rPr>
          <w:rFonts w:ascii="Times New Roman" w:hAnsi="Times New Roman" w:cs="Times New Roman"/>
          <w:sz w:val="28"/>
          <w:szCs w:val="28"/>
        </w:rPr>
        <w:t xml:space="preserve"> </w:t>
      </w:r>
      <w:r w:rsidR="008D6FC6" w:rsidRPr="00C8456F">
        <w:rPr>
          <w:rFonts w:ascii="Times New Roman" w:hAnsi="Times New Roman" w:cs="Times New Roman"/>
          <w:sz w:val="28"/>
          <w:szCs w:val="28"/>
        </w:rPr>
        <w:t xml:space="preserve">внешнего </w:t>
      </w:r>
      <w:r w:rsidR="000C5A38" w:rsidRPr="00C8456F">
        <w:rPr>
          <w:rFonts w:ascii="Times New Roman" w:hAnsi="Times New Roman" w:cs="Times New Roman"/>
          <w:sz w:val="28"/>
          <w:szCs w:val="28"/>
        </w:rPr>
        <w:t>муниципального</w:t>
      </w:r>
      <w:r w:rsidR="008D6FC6" w:rsidRPr="00C8456F">
        <w:rPr>
          <w:rFonts w:ascii="Times New Roman" w:hAnsi="Times New Roman" w:cs="Times New Roman"/>
          <w:sz w:val="28"/>
          <w:szCs w:val="28"/>
        </w:rPr>
        <w:t xml:space="preserve"> финансового контроля, осуществляемого</w:t>
      </w:r>
      <w:r w:rsidR="000C5A38" w:rsidRPr="00C8456F">
        <w:rPr>
          <w:rFonts w:ascii="Times New Roman" w:hAnsi="Times New Roman" w:cs="Times New Roman"/>
          <w:sz w:val="28"/>
          <w:szCs w:val="28"/>
        </w:rPr>
        <w:t xml:space="preserve"> </w:t>
      </w:r>
      <w:r w:rsidR="008D6FC6" w:rsidRPr="00C8456F">
        <w:rPr>
          <w:rFonts w:ascii="Times New Roman" w:hAnsi="Times New Roman" w:cs="Times New Roman"/>
          <w:sz w:val="28"/>
          <w:szCs w:val="28"/>
        </w:rPr>
        <w:t xml:space="preserve">Контрольно-счетной палатой </w:t>
      </w:r>
      <w:r w:rsidR="00C61824" w:rsidRPr="00C8456F">
        <w:rPr>
          <w:rFonts w:ascii="Times New Roman" w:hAnsi="Times New Roman" w:cs="Times New Roman"/>
          <w:sz w:val="28"/>
          <w:szCs w:val="28"/>
        </w:rPr>
        <w:t>Матвеево-Курганского района</w:t>
      </w:r>
      <w:r w:rsidR="008D6FC6" w:rsidRPr="00C8456F">
        <w:rPr>
          <w:rFonts w:ascii="Times New Roman" w:hAnsi="Times New Roman" w:cs="Times New Roman"/>
          <w:sz w:val="28"/>
          <w:szCs w:val="28"/>
        </w:rPr>
        <w:t xml:space="preserve"> (далее – </w:t>
      </w:r>
      <w:r w:rsidR="000C5A38" w:rsidRPr="00C8456F">
        <w:rPr>
          <w:rFonts w:ascii="Times New Roman" w:hAnsi="Times New Roman" w:cs="Times New Roman"/>
          <w:sz w:val="28"/>
          <w:szCs w:val="28"/>
        </w:rPr>
        <w:t>Контрольно-счетная палата</w:t>
      </w:r>
      <w:r w:rsidR="00E85F73">
        <w:rPr>
          <w:rFonts w:ascii="Times New Roman" w:hAnsi="Times New Roman" w:cs="Times New Roman"/>
          <w:sz w:val="28"/>
          <w:szCs w:val="28"/>
        </w:rPr>
        <w:t>, Палата</w:t>
      </w:r>
      <w:r w:rsidR="003D2D3C">
        <w:rPr>
          <w:rFonts w:ascii="Times New Roman" w:hAnsi="Times New Roman" w:cs="Times New Roman"/>
          <w:sz w:val="28"/>
          <w:szCs w:val="28"/>
        </w:rPr>
        <w:t xml:space="preserve"> </w:t>
      </w:r>
      <w:bookmarkStart w:id="1" w:name="_GoBack"/>
      <w:bookmarkEnd w:id="1"/>
      <w:r w:rsidR="000C5A38" w:rsidRPr="00C8456F">
        <w:rPr>
          <w:rFonts w:ascii="Times New Roman" w:hAnsi="Times New Roman" w:cs="Times New Roman"/>
          <w:sz w:val="28"/>
          <w:szCs w:val="28"/>
        </w:rPr>
        <w:t>).</w:t>
      </w:r>
    </w:p>
    <w:p w:rsidR="00AF7624" w:rsidRPr="00C8456F" w:rsidRDefault="001B18A9" w:rsidP="00A762C6">
      <w:pPr>
        <w:pStyle w:val="a8"/>
        <w:numPr>
          <w:ilvl w:val="0"/>
          <w:numId w:val="2"/>
        </w:numPr>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Стандарт устанавливает цели, задачи, предмет проведения проверки и анализа эффективности внутреннего финансового аудита, осуществляемого главными администраторами бюджетных средств, администраторами бюджетных средств, мероприятия по подготовке к проведению и периодичность проверки и анализа эффективности внутреннего финансового аудита.</w:t>
      </w:r>
    </w:p>
    <w:p w:rsidR="00AF7624" w:rsidRPr="00B41479" w:rsidRDefault="001B18A9" w:rsidP="00495039">
      <w:pPr>
        <w:pStyle w:val="a8"/>
        <w:numPr>
          <w:ilvl w:val="0"/>
          <w:numId w:val="2"/>
        </w:numPr>
        <w:tabs>
          <w:tab w:val="left" w:pos="1276"/>
        </w:tabs>
        <w:spacing w:after="0" w:line="240" w:lineRule="auto"/>
        <w:ind w:left="0" w:firstLine="567"/>
        <w:jc w:val="both"/>
        <w:rPr>
          <w:rFonts w:ascii="Times New Roman" w:hAnsi="Times New Roman" w:cs="Times New Roman"/>
          <w:sz w:val="28"/>
          <w:szCs w:val="28"/>
        </w:rPr>
      </w:pPr>
      <w:r w:rsidRPr="00B41479">
        <w:rPr>
          <w:rFonts w:ascii="Times New Roman" w:hAnsi="Times New Roman" w:cs="Times New Roman"/>
          <w:sz w:val="28"/>
          <w:szCs w:val="28"/>
        </w:rPr>
        <w:t>Стандарт предназначен для использования сотрудникам</w:t>
      </w:r>
      <w:r w:rsidR="00B41479" w:rsidRPr="00B41479">
        <w:rPr>
          <w:rFonts w:ascii="Times New Roman" w:hAnsi="Times New Roman" w:cs="Times New Roman"/>
          <w:sz w:val="28"/>
          <w:szCs w:val="28"/>
        </w:rPr>
        <w:t>и</w:t>
      </w:r>
      <w:r w:rsidRPr="00B41479">
        <w:rPr>
          <w:rFonts w:ascii="Times New Roman" w:hAnsi="Times New Roman" w:cs="Times New Roman"/>
          <w:sz w:val="28"/>
          <w:szCs w:val="28"/>
        </w:rPr>
        <w:t xml:space="preserve"> Контрольно-счетной палаты в пределах их компетенции при организации и проведении проверки и анализа эффективности внутреннего финансового аудита в рамках контрольных и экспертно-аналитических мероприятий, проводимых в главном администраторе бюджетных средств, администраторе бюджетных средств в соответствии со стандартами внешнего муниципального финансового контроля, осуществляемого Контрольно-счетной палатой </w:t>
      </w:r>
      <w:r w:rsidRPr="00E04DAD">
        <w:rPr>
          <w:rFonts w:ascii="Times New Roman" w:hAnsi="Times New Roman" w:cs="Times New Roman"/>
          <w:sz w:val="28"/>
          <w:szCs w:val="28"/>
        </w:rPr>
        <w:t>(«Общие правила проведения контрольного мероприятия»</w:t>
      </w:r>
      <w:r w:rsidR="00112D65" w:rsidRPr="00E04DAD">
        <w:rPr>
          <w:rFonts w:ascii="Times New Roman" w:hAnsi="Times New Roman" w:cs="Times New Roman"/>
          <w:sz w:val="28"/>
          <w:szCs w:val="28"/>
        </w:rPr>
        <w:t xml:space="preserve">, </w:t>
      </w:r>
      <w:r w:rsidRPr="00E04DAD">
        <w:rPr>
          <w:rFonts w:ascii="Times New Roman" w:hAnsi="Times New Roman" w:cs="Times New Roman"/>
          <w:sz w:val="28"/>
          <w:szCs w:val="28"/>
        </w:rPr>
        <w:t>«Проведение экспертно-аналитического мероприятия»)</w:t>
      </w:r>
      <w:r w:rsidR="00B41479" w:rsidRPr="00E04DAD">
        <w:rPr>
          <w:rFonts w:ascii="Times New Roman" w:hAnsi="Times New Roman" w:cs="Times New Roman"/>
          <w:sz w:val="28"/>
          <w:szCs w:val="28"/>
        </w:rPr>
        <w:t xml:space="preserve">, </w:t>
      </w:r>
      <w:r w:rsidR="00C139F0" w:rsidRPr="00B41479">
        <w:rPr>
          <w:rFonts w:ascii="Times New Roman" w:hAnsi="Times New Roman" w:cs="Times New Roman"/>
          <w:sz w:val="28"/>
          <w:szCs w:val="28"/>
        </w:rPr>
        <w:t>непосредственным предметом которых является проверка и анализ эффективности внутреннего финансового аудита (далее – самостоятельные контрольные и экспертно-аналитические мероприятия).</w:t>
      </w:r>
    </w:p>
    <w:p w:rsidR="00AF7624" w:rsidRPr="00C8456F" w:rsidRDefault="00380470"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В Стандарте определены цели, задачи, а также мероприятия по проведению проверки и анализа эффективности внутреннего финансового </w:t>
      </w:r>
      <w:r w:rsidRPr="00C8456F">
        <w:rPr>
          <w:rFonts w:ascii="Times New Roman" w:hAnsi="Times New Roman" w:cs="Times New Roman"/>
          <w:sz w:val="28"/>
          <w:szCs w:val="28"/>
        </w:rPr>
        <w:lastRenderedPageBreak/>
        <w:t>контроля и внутреннего финансового аудита, осуществляемых главными</w:t>
      </w:r>
      <w:r w:rsidR="00C07581" w:rsidRPr="00C8456F">
        <w:rPr>
          <w:rFonts w:ascii="Times New Roman" w:hAnsi="Times New Roman" w:cs="Times New Roman"/>
          <w:sz w:val="28"/>
          <w:szCs w:val="28"/>
        </w:rPr>
        <w:t xml:space="preserve"> </w:t>
      </w:r>
      <w:r w:rsidRPr="00C8456F">
        <w:rPr>
          <w:rFonts w:ascii="Times New Roman" w:hAnsi="Times New Roman" w:cs="Times New Roman"/>
          <w:sz w:val="28"/>
          <w:szCs w:val="28"/>
        </w:rPr>
        <w:t>адм</w:t>
      </w:r>
      <w:r w:rsidR="00AF7624" w:rsidRPr="00C8456F">
        <w:rPr>
          <w:rFonts w:ascii="Times New Roman" w:hAnsi="Times New Roman" w:cs="Times New Roman"/>
          <w:sz w:val="28"/>
          <w:szCs w:val="28"/>
        </w:rPr>
        <w:t>инистраторами бюджетных средств.</w:t>
      </w:r>
    </w:p>
    <w:p w:rsidR="001B18A9" w:rsidRPr="00C8456F" w:rsidRDefault="00534D0D" w:rsidP="00A762C6">
      <w:pPr>
        <w:pStyle w:val="a8"/>
        <w:numPr>
          <w:ilvl w:val="0"/>
          <w:numId w:val="2"/>
        </w:numPr>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Внесение изменений и дополнений в настоящий Стандарт осуществляется на основании решений коллегии Контрольно-счетной палаты. Решение вопросов, не урегулированных настоящим Стандартом, осуществляется председателем Контрольно-счетной палаты и вводится в действие приказом председателя </w:t>
      </w:r>
      <w:r w:rsidR="00225A8D" w:rsidRPr="00C8456F">
        <w:rPr>
          <w:rFonts w:ascii="Times New Roman" w:hAnsi="Times New Roman" w:cs="Times New Roman"/>
          <w:sz w:val="28"/>
          <w:szCs w:val="28"/>
        </w:rPr>
        <w:t>Контрольно-счетной палаты</w:t>
      </w:r>
      <w:r w:rsidRPr="00C8456F">
        <w:rPr>
          <w:rFonts w:ascii="Times New Roman" w:hAnsi="Times New Roman" w:cs="Times New Roman"/>
          <w:sz w:val="28"/>
          <w:szCs w:val="28"/>
        </w:rPr>
        <w:t>.</w:t>
      </w:r>
    </w:p>
    <w:p w:rsidR="00A20646" w:rsidRPr="00C8456F" w:rsidRDefault="00A20646" w:rsidP="00A762C6">
      <w:pPr>
        <w:pStyle w:val="a8"/>
        <w:tabs>
          <w:tab w:val="left" w:pos="993"/>
        </w:tabs>
        <w:spacing w:after="0" w:line="240" w:lineRule="auto"/>
        <w:ind w:left="360"/>
        <w:jc w:val="both"/>
        <w:rPr>
          <w:rFonts w:ascii="Times New Roman" w:hAnsi="Times New Roman" w:cs="Times New Roman"/>
          <w:sz w:val="28"/>
          <w:szCs w:val="28"/>
        </w:rPr>
      </w:pPr>
    </w:p>
    <w:p w:rsidR="00A20646" w:rsidRPr="00C8456F" w:rsidRDefault="00A20646" w:rsidP="00A762C6">
      <w:pPr>
        <w:pStyle w:val="a8"/>
        <w:numPr>
          <w:ilvl w:val="0"/>
          <w:numId w:val="1"/>
        </w:numPr>
        <w:tabs>
          <w:tab w:val="left" w:pos="993"/>
        </w:tabs>
        <w:spacing w:after="0" w:line="240" w:lineRule="auto"/>
        <w:jc w:val="center"/>
        <w:outlineLvl w:val="0"/>
        <w:rPr>
          <w:rFonts w:ascii="Times New Roman" w:eastAsiaTheme="majorEastAsia" w:hAnsi="Times New Roman" w:cs="Times New Roman"/>
          <w:b/>
          <w:bCs/>
          <w:sz w:val="28"/>
          <w:szCs w:val="28"/>
        </w:rPr>
      </w:pPr>
      <w:bookmarkStart w:id="2" w:name="_Toc342240"/>
      <w:r w:rsidRPr="00C8456F">
        <w:rPr>
          <w:rFonts w:ascii="Times New Roman" w:eastAsiaTheme="majorEastAsia" w:hAnsi="Times New Roman" w:cs="Times New Roman"/>
          <w:b/>
          <w:bCs/>
          <w:sz w:val="28"/>
          <w:szCs w:val="28"/>
        </w:rPr>
        <w:t>Содержание внутреннего финансового аудита</w:t>
      </w:r>
      <w:bookmarkEnd w:id="2"/>
    </w:p>
    <w:p w:rsidR="001E0CBE" w:rsidRPr="00C8456F" w:rsidRDefault="00194E40" w:rsidP="00A762C6">
      <w:pPr>
        <w:pStyle w:val="a8"/>
        <w:numPr>
          <w:ilvl w:val="0"/>
          <w:numId w:val="3"/>
        </w:numPr>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В соответствии с положениями статьи 160.2-1 Бюджетного кодекса Российской Федерации внутренний финансовый аудит осуществля</w:t>
      </w:r>
      <w:r w:rsidR="001E0CBE" w:rsidRPr="00C8456F">
        <w:rPr>
          <w:rFonts w:ascii="Times New Roman" w:hAnsi="Times New Roman" w:cs="Times New Roman"/>
          <w:sz w:val="28"/>
          <w:szCs w:val="28"/>
        </w:rPr>
        <w:t>е</w:t>
      </w:r>
      <w:r w:rsidR="00261D01" w:rsidRPr="00C8456F">
        <w:rPr>
          <w:rFonts w:ascii="Times New Roman" w:hAnsi="Times New Roman" w:cs="Times New Roman"/>
          <w:sz w:val="28"/>
          <w:szCs w:val="28"/>
        </w:rPr>
        <w:t>тся</w:t>
      </w:r>
      <w:r w:rsidRPr="00C8456F">
        <w:rPr>
          <w:rFonts w:ascii="Times New Roman" w:hAnsi="Times New Roman" w:cs="Times New Roman"/>
          <w:sz w:val="28"/>
          <w:szCs w:val="28"/>
        </w:rPr>
        <w:t xml:space="preserve"> главными администраторами бюджетных средств, администраторами бюджетных средств на основе функциональной независимости в целях: </w:t>
      </w:r>
    </w:p>
    <w:p w:rsidR="001E0CBE" w:rsidRPr="00C8456F" w:rsidRDefault="00194E40"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оценки надежности внутреннего финансового контроля и подготовки рекомендаций по повышению его эффективности; </w:t>
      </w:r>
    </w:p>
    <w:p w:rsidR="001E0CBE" w:rsidRPr="00C8456F" w:rsidRDefault="00194E40"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w:t>
      </w:r>
      <w:r w:rsidR="00D51379" w:rsidRPr="00C8456F">
        <w:rPr>
          <w:rFonts w:ascii="Times New Roman" w:hAnsi="Times New Roman" w:cs="Times New Roman"/>
          <w:sz w:val="28"/>
          <w:szCs w:val="28"/>
        </w:rPr>
        <w:t xml:space="preserve"> финансов Российской Федерации;</w:t>
      </w:r>
    </w:p>
    <w:p w:rsidR="001E0CBE" w:rsidRPr="00C8456F" w:rsidRDefault="00194E40"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подготовки предложений по повышению экономности и результативности использования бюджетных средств. </w:t>
      </w:r>
    </w:p>
    <w:p w:rsidR="001E0CBE" w:rsidRPr="00C8456F" w:rsidRDefault="00194E40"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При этом внутренний финансовый контроль определяется как деятельность, осуществляемая:</w:t>
      </w:r>
    </w:p>
    <w:p w:rsidR="001E0CBE" w:rsidRPr="00C8456F" w:rsidRDefault="00FC286B"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главным распорядителем (распорядителем) бюджетных средств, направленная </w:t>
      </w:r>
      <w:r w:rsidR="004777AE" w:rsidRPr="00C8456F">
        <w:rPr>
          <w:rFonts w:ascii="Times New Roman" w:hAnsi="Times New Roman" w:cs="Times New Roman"/>
          <w:sz w:val="28"/>
          <w:szCs w:val="28"/>
        </w:rPr>
        <w:t>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r w:rsidRPr="00C8456F">
        <w:rPr>
          <w:rFonts w:ascii="Times New Roman" w:hAnsi="Times New Roman" w:cs="Times New Roman"/>
          <w:sz w:val="28"/>
          <w:szCs w:val="28"/>
        </w:rPr>
        <w:t>;</w:t>
      </w:r>
    </w:p>
    <w:p w:rsidR="001E0CBE" w:rsidRPr="00C8456F" w:rsidRDefault="00C545F5"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главным администратором (администратором) доходов бюджета, направленная </w:t>
      </w:r>
      <w:r w:rsidR="002C3753" w:rsidRPr="00C8456F">
        <w:rPr>
          <w:rFonts w:ascii="Times New Roman" w:hAnsi="Times New Roman" w:cs="Times New Roman"/>
          <w:sz w:val="28"/>
          <w:szCs w:val="28"/>
        </w:rPr>
        <w:t>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E0CBE" w:rsidRPr="00C8456F" w:rsidRDefault="002C3753" w:rsidP="00A762C6">
      <w:pPr>
        <w:pStyle w:val="a8"/>
        <w:tabs>
          <w:tab w:val="left" w:pos="1276"/>
        </w:tabs>
        <w:spacing w:after="0" w:line="240" w:lineRule="auto"/>
        <w:ind w:left="0" w:firstLine="567"/>
        <w:jc w:val="both"/>
        <w:rPr>
          <w:rFonts w:ascii="Times New Roman" w:hAnsi="Times New Roman" w:cs="Times New Roman"/>
          <w:sz w:val="28"/>
          <w:szCs w:val="28"/>
        </w:rPr>
      </w:pPr>
      <w:r w:rsidRPr="00C8456F">
        <w:rPr>
          <w:rFonts w:ascii="Times New Roman" w:hAnsi="Times New Roman" w:cs="Times New Roman"/>
          <w:sz w:val="28"/>
          <w:szCs w:val="28"/>
        </w:rPr>
        <w:t xml:space="preserve">главным администратором (администратором) источников, направленная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w:t>
      </w:r>
      <w:r w:rsidRPr="00C8456F">
        <w:rPr>
          <w:rFonts w:ascii="Times New Roman" w:hAnsi="Times New Roman" w:cs="Times New Roman"/>
          <w:sz w:val="28"/>
          <w:szCs w:val="28"/>
        </w:rPr>
        <w:lastRenderedPageBreak/>
        <w:t>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C3753" w:rsidRPr="00DB408C" w:rsidRDefault="001E0CBE" w:rsidP="00A762C6">
      <w:pPr>
        <w:pStyle w:val="a8"/>
        <w:numPr>
          <w:ilvl w:val="1"/>
          <w:numId w:val="1"/>
        </w:numPr>
        <w:tabs>
          <w:tab w:val="left" w:pos="0"/>
          <w:tab w:val="left" w:pos="1418"/>
        </w:tabs>
        <w:spacing w:after="0" w:line="240" w:lineRule="auto"/>
        <w:ind w:left="0" w:firstLine="426"/>
        <w:jc w:val="both"/>
        <w:rPr>
          <w:rFonts w:ascii="Times New Roman" w:hAnsi="Times New Roman" w:cs="Times New Roman"/>
          <w:sz w:val="28"/>
          <w:szCs w:val="28"/>
        </w:rPr>
      </w:pPr>
      <w:r w:rsidRPr="00DB408C">
        <w:rPr>
          <w:rFonts w:ascii="Times New Roman" w:hAnsi="Times New Roman" w:cs="Times New Roman"/>
          <w:sz w:val="28"/>
          <w:szCs w:val="28"/>
        </w:rPr>
        <w:t xml:space="preserve">Субъектом </w:t>
      </w:r>
      <w:r w:rsidR="0002562C" w:rsidRPr="00DB408C">
        <w:rPr>
          <w:rFonts w:ascii="Times New Roman" w:hAnsi="Times New Roman" w:cs="Times New Roman"/>
          <w:bCs/>
          <w:sz w:val="28"/>
          <w:szCs w:val="28"/>
        </w:rPr>
        <w:t xml:space="preserve">внутреннего финансового контроля и внутреннего финансового аудита </w:t>
      </w:r>
      <w:r w:rsidRPr="00DB408C">
        <w:rPr>
          <w:rFonts w:ascii="Times New Roman" w:hAnsi="Times New Roman" w:cs="Times New Roman"/>
          <w:sz w:val="28"/>
          <w:szCs w:val="28"/>
        </w:rPr>
        <w:t xml:space="preserve">является подразделение и (или) уполномоченное должностное лицо, работник главного администратора бюджетных средств, администратора бюджетных средств, наделенное полномочиями по осуществлению </w:t>
      </w:r>
      <w:r w:rsidR="0002562C"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hAnsi="Times New Roman" w:cs="Times New Roman"/>
          <w:sz w:val="28"/>
          <w:szCs w:val="28"/>
        </w:rPr>
        <w:t>, и осуществляющее свою деятельность на основе функциональной независимости.</w:t>
      </w:r>
    </w:p>
    <w:p w:rsidR="001E0CBE" w:rsidRPr="00A762C6" w:rsidRDefault="001E0CBE" w:rsidP="00A762C6">
      <w:pPr>
        <w:pStyle w:val="a8"/>
        <w:tabs>
          <w:tab w:val="left" w:pos="0"/>
          <w:tab w:val="left" w:pos="1418"/>
        </w:tabs>
        <w:spacing w:after="0" w:line="240" w:lineRule="auto"/>
        <w:ind w:left="426"/>
        <w:jc w:val="both"/>
        <w:rPr>
          <w:rFonts w:ascii="Times New Roman" w:hAnsi="Times New Roman" w:cs="Times New Roman"/>
          <w:color w:val="FF0000"/>
          <w:sz w:val="28"/>
          <w:szCs w:val="28"/>
        </w:rPr>
      </w:pPr>
    </w:p>
    <w:p w:rsidR="00F675D4" w:rsidRPr="00DB408C" w:rsidRDefault="00F675D4" w:rsidP="00A762C6">
      <w:pPr>
        <w:pStyle w:val="a8"/>
        <w:numPr>
          <w:ilvl w:val="0"/>
          <w:numId w:val="1"/>
        </w:numPr>
        <w:tabs>
          <w:tab w:val="left" w:pos="993"/>
        </w:tabs>
        <w:spacing w:after="0" w:line="240" w:lineRule="auto"/>
        <w:jc w:val="center"/>
        <w:outlineLvl w:val="0"/>
        <w:rPr>
          <w:rFonts w:ascii="Times New Roman" w:eastAsiaTheme="majorEastAsia" w:hAnsi="Times New Roman" w:cs="Times New Roman"/>
          <w:b/>
          <w:bCs/>
          <w:sz w:val="28"/>
          <w:szCs w:val="28"/>
        </w:rPr>
      </w:pPr>
      <w:bookmarkStart w:id="3" w:name="_Toc342241"/>
      <w:r w:rsidRPr="00DB408C">
        <w:rPr>
          <w:rFonts w:ascii="Times New Roman" w:eastAsiaTheme="majorEastAsia" w:hAnsi="Times New Roman" w:cs="Times New Roman"/>
          <w:b/>
          <w:bCs/>
          <w:sz w:val="28"/>
          <w:szCs w:val="28"/>
        </w:rPr>
        <w:t xml:space="preserve">Цели, задачи, предмет проведения проверки и анализа эффективности </w:t>
      </w:r>
      <w:r w:rsidR="00FE1B57" w:rsidRPr="00DB408C">
        <w:rPr>
          <w:rFonts w:ascii="Times New Roman" w:eastAsiaTheme="majorEastAsia" w:hAnsi="Times New Roman" w:cs="Times New Roman"/>
          <w:b/>
          <w:bCs/>
          <w:sz w:val="28"/>
          <w:szCs w:val="28"/>
        </w:rPr>
        <w:t xml:space="preserve">внутреннего финансового контроля и </w:t>
      </w:r>
      <w:r w:rsidRPr="00DB408C">
        <w:rPr>
          <w:rFonts w:ascii="Times New Roman" w:eastAsiaTheme="majorEastAsia" w:hAnsi="Times New Roman" w:cs="Times New Roman"/>
          <w:b/>
          <w:bCs/>
          <w:sz w:val="28"/>
          <w:szCs w:val="28"/>
        </w:rPr>
        <w:t>внутреннего финансового аудита</w:t>
      </w:r>
      <w:bookmarkEnd w:id="3"/>
    </w:p>
    <w:p w:rsidR="00F675D4" w:rsidRPr="00A762C6" w:rsidRDefault="00F675D4" w:rsidP="00A762C6">
      <w:pPr>
        <w:pStyle w:val="a8"/>
        <w:tabs>
          <w:tab w:val="left" w:pos="993"/>
        </w:tabs>
        <w:spacing w:after="0" w:line="240" w:lineRule="auto"/>
        <w:jc w:val="center"/>
        <w:outlineLvl w:val="0"/>
        <w:rPr>
          <w:rFonts w:ascii="Times New Roman" w:eastAsiaTheme="majorEastAsia" w:hAnsi="Times New Roman" w:cs="Times New Roman"/>
          <w:b/>
          <w:bCs/>
          <w:color w:val="FF0000"/>
          <w:sz w:val="28"/>
          <w:szCs w:val="28"/>
        </w:rPr>
      </w:pPr>
    </w:p>
    <w:p w:rsidR="00BA3098" w:rsidRPr="00DB408C" w:rsidRDefault="00F675D4" w:rsidP="00A762C6">
      <w:pPr>
        <w:pStyle w:val="a8"/>
        <w:numPr>
          <w:ilvl w:val="0"/>
          <w:numId w:val="4"/>
        </w:numPr>
        <w:tabs>
          <w:tab w:val="left" w:pos="993"/>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Проверка и анализ эффективности внутреннего финансового </w:t>
      </w:r>
      <w:r w:rsidR="00FE1B57" w:rsidRPr="00DB408C">
        <w:rPr>
          <w:rFonts w:ascii="Times New Roman" w:eastAsiaTheme="majorEastAsia" w:hAnsi="Times New Roman" w:cs="Times New Roman"/>
          <w:bCs/>
          <w:sz w:val="28"/>
          <w:szCs w:val="28"/>
        </w:rPr>
        <w:t xml:space="preserve">контроля и внутреннего финансового </w:t>
      </w:r>
      <w:r w:rsidRPr="00DB408C">
        <w:rPr>
          <w:rFonts w:ascii="Times New Roman" w:eastAsiaTheme="majorEastAsia" w:hAnsi="Times New Roman" w:cs="Times New Roman"/>
          <w:bCs/>
          <w:sz w:val="28"/>
          <w:szCs w:val="28"/>
        </w:rPr>
        <w:t>аудита, осуществляемого главным администратором бюджетных средств, администратором бюджетных средств, проводятся в целях:</w:t>
      </w:r>
    </w:p>
    <w:p w:rsidR="00142571" w:rsidRPr="00DB408C" w:rsidRDefault="00142571" w:rsidP="00A762C6">
      <w:pPr>
        <w:pStyle w:val="a8"/>
        <w:tabs>
          <w:tab w:val="left" w:pos="993"/>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оценки состояния внутреннего</w:t>
      </w:r>
      <w:r w:rsidR="002E60E5" w:rsidRPr="00DB408C">
        <w:rPr>
          <w:rFonts w:ascii="Times New Roman" w:eastAsiaTheme="majorEastAsia" w:hAnsi="Times New Roman" w:cs="Times New Roman"/>
          <w:bCs/>
          <w:sz w:val="28"/>
          <w:szCs w:val="28"/>
        </w:rPr>
        <w:t xml:space="preserve"> финансового контроля и внутреннего</w:t>
      </w:r>
      <w:r w:rsidRPr="00DB408C">
        <w:rPr>
          <w:rFonts w:ascii="Times New Roman" w:eastAsiaTheme="majorEastAsia" w:hAnsi="Times New Roman" w:cs="Times New Roman"/>
          <w:bCs/>
          <w:sz w:val="28"/>
          <w:szCs w:val="28"/>
        </w:rPr>
        <w:t xml:space="preserve"> финансового аудита и определения степени доверия к результатам деятельности субъекта внутреннего финансового аудита для планирования контрольных и экспертно- аналитических мероприятий Контрольно-счетной палаты</w:t>
      </w:r>
      <w:r w:rsidR="00BA3098" w:rsidRPr="00DB408C">
        <w:rPr>
          <w:rFonts w:ascii="Times New Roman" w:hAnsi="Times New Roman" w:cs="Times New Roman"/>
        </w:rPr>
        <w:t xml:space="preserve"> </w:t>
      </w:r>
      <w:r w:rsidR="00BA3098" w:rsidRPr="00DB408C">
        <w:rPr>
          <w:rFonts w:ascii="Times New Roman" w:eastAsiaTheme="majorEastAsia" w:hAnsi="Times New Roman" w:cs="Times New Roman"/>
          <w:bCs/>
          <w:sz w:val="28"/>
          <w:szCs w:val="28"/>
        </w:rPr>
        <w:t>проводимых в соответствующем главном администраторе бюджетных средств, администраторе бюджетных средств</w:t>
      </w:r>
      <w:r w:rsidRPr="00DB408C">
        <w:rPr>
          <w:rFonts w:ascii="Times New Roman" w:eastAsiaTheme="majorEastAsia" w:hAnsi="Times New Roman" w:cs="Times New Roman"/>
          <w:bCs/>
          <w:sz w:val="28"/>
          <w:szCs w:val="28"/>
        </w:rPr>
        <w:t>;</w:t>
      </w:r>
    </w:p>
    <w:p w:rsidR="00B05A05" w:rsidRPr="00DB408C" w:rsidRDefault="00142571" w:rsidP="00A762C6">
      <w:pPr>
        <w:pStyle w:val="a8"/>
        <w:tabs>
          <w:tab w:val="left" w:pos="993"/>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определения степени соблюдения требований стандартов, правил, методических рекомендаций и других методических документов, регламентирующих проведение внутреннего финансового аудита</w:t>
      </w:r>
      <w:r w:rsidR="007462F8" w:rsidRPr="00DB408C">
        <w:rPr>
          <w:rFonts w:ascii="Times New Roman" w:hAnsi="Times New Roman" w:cs="Times New Roman"/>
        </w:rPr>
        <w:t xml:space="preserve"> </w:t>
      </w:r>
      <w:r w:rsidR="007462F8" w:rsidRPr="00DB408C">
        <w:rPr>
          <w:rFonts w:ascii="Times New Roman" w:eastAsiaTheme="majorEastAsia" w:hAnsi="Times New Roman" w:cs="Times New Roman"/>
          <w:bCs/>
          <w:sz w:val="28"/>
          <w:szCs w:val="28"/>
        </w:rPr>
        <w:t>в соответствующем главном администраторе бюджетных средств, администраторе бюджетных средств</w:t>
      </w:r>
      <w:r w:rsidRPr="00DB408C">
        <w:rPr>
          <w:rFonts w:ascii="Times New Roman" w:eastAsiaTheme="majorEastAsia" w:hAnsi="Times New Roman" w:cs="Times New Roman"/>
          <w:bCs/>
          <w:sz w:val="28"/>
          <w:szCs w:val="28"/>
        </w:rPr>
        <w:t>;</w:t>
      </w:r>
    </w:p>
    <w:p w:rsidR="002319E9" w:rsidRPr="00DB408C" w:rsidRDefault="002319E9" w:rsidP="00A762C6">
      <w:pPr>
        <w:pStyle w:val="a8"/>
        <w:tabs>
          <w:tab w:val="left" w:pos="993"/>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выявления конкретных нарушений и недостатков в организации работы и отчетности субъекта внутреннего финансового аудита и выработки рекомендаций по совершенствованию </w:t>
      </w:r>
      <w:r w:rsidR="00B05A05" w:rsidRPr="00DB408C">
        <w:rPr>
          <w:rFonts w:ascii="Times New Roman" w:eastAsiaTheme="majorEastAsia"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w:t>
      </w:r>
    </w:p>
    <w:p w:rsidR="00252729" w:rsidRPr="00DB408C" w:rsidRDefault="007D6D97" w:rsidP="00A762C6">
      <w:pPr>
        <w:pStyle w:val="a8"/>
        <w:numPr>
          <w:ilvl w:val="1"/>
          <w:numId w:val="1"/>
        </w:numPr>
        <w:tabs>
          <w:tab w:val="left" w:pos="0"/>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Задачами проведения проверки и анализа эффективности внутреннего </w:t>
      </w:r>
      <w:r w:rsidR="008D1724" w:rsidRPr="00DB408C">
        <w:rPr>
          <w:rFonts w:ascii="Times New Roman" w:eastAsiaTheme="majorEastAsia" w:hAnsi="Times New Roman" w:cs="Times New Roman"/>
          <w:bCs/>
          <w:sz w:val="28"/>
          <w:szCs w:val="28"/>
        </w:rPr>
        <w:t xml:space="preserve">финансового контроля и внутреннего </w:t>
      </w:r>
      <w:r w:rsidRPr="00DB408C">
        <w:rPr>
          <w:rFonts w:ascii="Times New Roman" w:eastAsiaTheme="majorEastAsia" w:hAnsi="Times New Roman" w:cs="Times New Roman"/>
          <w:bCs/>
          <w:sz w:val="28"/>
          <w:szCs w:val="28"/>
        </w:rPr>
        <w:t>финансового аудита являются:</w:t>
      </w:r>
    </w:p>
    <w:p w:rsidR="007D6D97" w:rsidRPr="00DB408C" w:rsidRDefault="007D6D97" w:rsidP="00DB408C">
      <w:pPr>
        <w:pStyle w:val="a8"/>
        <w:tabs>
          <w:tab w:val="left" w:pos="0"/>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оценка организационной структуры субъекта внутреннего </w:t>
      </w:r>
      <w:r w:rsidR="00252729" w:rsidRPr="00DB408C">
        <w:rPr>
          <w:rFonts w:ascii="Times New Roman" w:eastAsiaTheme="majorEastAsia" w:hAnsi="Times New Roman" w:cs="Times New Roman"/>
          <w:bCs/>
          <w:sz w:val="28"/>
          <w:szCs w:val="28"/>
        </w:rPr>
        <w:t>финансового</w:t>
      </w:r>
      <w:r w:rsidR="00DB408C" w:rsidRPr="00DB408C">
        <w:rPr>
          <w:rFonts w:ascii="Times New Roman" w:eastAsiaTheme="majorEastAsia" w:hAnsi="Times New Roman" w:cs="Times New Roman"/>
          <w:bCs/>
          <w:sz w:val="28"/>
          <w:szCs w:val="28"/>
        </w:rPr>
        <w:t xml:space="preserve"> </w:t>
      </w:r>
      <w:r w:rsidR="00252729" w:rsidRPr="00DB408C">
        <w:rPr>
          <w:rFonts w:ascii="Times New Roman" w:eastAsiaTheme="majorEastAsia" w:hAnsi="Times New Roman" w:cs="Times New Roman"/>
          <w:bCs/>
          <w:sz w:val="28"/>
          <w:szCs w:val="28"/>
        </w:rPr>
        <w:t xml:space="preserve">контроля и внутреннего </w:t>
      </w:r>
      <w:r w:rsidRPr="00DB408C">
        <w:rPr>
          <w:rFonts w:ascii="Times New Roman" w:eastAsiaTheme="majorEastAsia" w:hAnsi="Times New Roman" w:cs="Times New Roman"/>
          <w:bCs/>
          <w:sz w:val="28"/>
          <w:szCs w:val="28"/>
        </w:rPr>
        <w:t>финансового аудита, включая оценку функциональной независимости субъекта внутреннего финансового аудита, уровня его подотчетности, численности и укомплектованности;</w:t>
      </w:r>
    </w:p>
    <w:p w:rsidR="008927B8" w:rsidRPr="00DB408C" w:rsidRDefault="00D11CE2"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lastRenderedPageBreak/>
        <w:t>проверка соблюдения порядка формирования, утверждения и актуализации карт внутреннего финансового контроля, а также ведения, учета и хранения регистров (журналов) внутреннего финансового контроля;</w:t>
      </w:r>
    </w:p>
    <w:p w:rsidR="008927B8" w:rsidRPr="00DB408C" w:rsidRDefault="008927B8"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оценка периодичности контроля, применяемых форм и методов контроля;</w:t>
      </w:r>
    </w:p>
    <w:p w:rsidR="009953BA" w:rsidRPr="00DB408C" w:rsidRDefault="00F7444A"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оценка организации планирования проверок внутреннего финансового аудита, (включая степень охвата подведомственных распорядителей (получателей) бюджетных средств и подведомственных администраторов доходов</w:t>
      </w:r>
      <w:r w:rsidR="00DB408C">
        <w:rPr>
          <w:rFonts w:ascii="Times New Roman" w:eastAsiaTheme="majorEastAsia" w:hAnsi="Times New Roman" w:cs="Times New Roman"/>
          <w:bCs/>
          <w:sz w:val="28"/>
          <w:szCs w:val="28"/>
        </w:rPr>
        <w:t>,</w:t>
      </w:r>
      <w:r w:rsidRPr="00DB408C">
        <w:rPr>
          <w:rFonts w:ascii="Times New Roman" w:eastAsiaTheme="majorEastAsia" w:hAnsi="Times New Roman" w:cs="Times New Roman"/>
          <w:bCs/>
          <w:sz w:val="28"/>
          <w:szCs w:val="28"/>
        </w:rPr>
        <w:t xml:space="preserve"> и источников финансирования дефицита);</w:t>
      </w:r>
    </w:p>
    <w:p w:rsidR="006A4E48" w:rsidRPr="00DB408C" w:rsidRDefault="009953BA"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оценка степени учета результатов проверок органов муниципального финансового контроля (внешнего и внутреннего) при планировании и осуществлении проверок субъектами внутреннего финансового контроля и внутреннего финансового аудита</w:t>
      </w:r>
      <w:r w:rsidR="006A4E48" w:rsidRPr="00DB408C">
        <w:rPr>
          <w:rFonts w:ascii="Times New Roman" w:eastAsiaTheme="majorEastAsia" w:hAnsi="Times New Roman" w:cs="Times New Roman"/>
          <w:bCs/>
          <w:sz w:val="28"/>
          <w:szCs w:val="28"/>
        </w:rPr>
        <w:t>;</w:t>
      </w:r>
    </w:p>
    <w:p w:rsidR="001C43FD" w:rsidRPr="00DB408C" w:rsidRDefault="006A4E48"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оценка системы оформления результатов </w:t>
      </w:r>
      <w:r w:rsidR="009F6916" w:rsidRPr="00DB408C">
        <w:rPr>
          <w:rFonts w:ascii="Times New Roman" w:eastAsiaTheme="majorEastAsia" w:hAnsi="Times New Roman" w:cs="Times New Roman"/>
          <w:bCs/>
          <w:sz w:val="28"/>
          <w:szCs w:val="28"/>
        </w:rPr>
        <w:t xml:space="preserve">аудиторских </w:t>
      </w:r>
      <w:r w:rsidRPr="00DB408C">
        <w:rPr>
          <w:rFonts w:ascii="Times New Roman" w:eastAsiaTheme="majorEastAsia" w:hAnsi="Times New Roman" w:cs="Times New Roman"/>
          <w:bCs/>
          <w:sz w:val="28"/>
          <w:szCs w:val="28"/>
        </w:rPr>
        <w:t>проверок, отчетности об осуществлении внутреннего</w:t>
      </w:r>
      <w:r w:rsidR="006C2948" w:rsidRPr="00DB408C">
        <w:rPr>
          <w:rFonts w:ascii="Times New Roman" w:hAnsi="Times New Roman" w:cs="Times New Roman"/>
        </w:rPr>
        <w:t xml:space="preserve"> </w:t>
      </w:r>
      <w:r w:rsidR="006C2948" w:rsidRPr="00DB408C">
        <w:rPr>
          <w:rFonts w:ascii="Times New Roman" w:eastAsiaTheme="majorEastAsia" w:hAnsi="Times New Roman" w:cs="Times New Roman"/>
          <w:bCs/>
          <w:sz w:val="28"/>
          <w:szCs w:val="28"/>
        </w:rPr>
        <w:t xml:space="preserve">финансового контроля и внутреннего </w:t>
      </w:r>
      <w:r w:rsidRPr="00DB408C">
        <w:rPr>
          <w:rFonts w:ascii="Times New Roman" w:eastAsiaTheme="majorEastAsia" w:hAnsi="Times New Roman" w:cs="Times New Roman"/>
          <w:bCs/>
          <w:sz w:val="28"/>
          <w:szCs w:val="28"/>
        </w:rPr>
        <w:t>финансового аудита;</w:t>
      </w:r>
    </w:p>
    <w:p w:rsidR="006A4E48" w:rsidRPr="00DB408C" w:rsidRDefault="006A4E48" w:rsidP="00A762C6">
      <w:pPr>
        <w:pStyle w:val="a8"/>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оценка конкретных результатов</w:t>
      </w:r>
      <w:r w:rsidR="00DB408C">
        <w:rPr>
          <w:rFonts w:ascii="Times New Roman" w:eastAsiaTheme="majorEastAsia" w:hAnsi="Times New Roman" w:cs="Times New Roman"/>
          <w:bCs/>
          <w:sz w:val="28"/>
          <w:szCs w:val="28"/>
        </w:rPr>
        <w:t>,</w:t>
      </w:r>
      <w:r w:rsidRPr="00DB408C">
        <w:rPr>
          <w:rFonts w:ascii="Times New Roman" w:eastAsiaTheme="majorEastAsia" w:hAnsi="Times New Roman" w:cs="Times New Roman"/>
          <w:bCs/>
          <w:sz w:val="28"/>
          <w:szCs w:val="28"/>
        </w:rPr>
        <w:t xml:space="preserve"> проводимых субъектом </w:t>
      </w:r>
      <w:r w:rsidR="001C43FD" w:rsidRPr="00DB408C">
        <w:rPr>
          <w:rFonts w:ascii="Times New Roman" w:eastAsiaTheme="majorEastAsia" w:hAnsi="Times New Roman" w:cs="Times New Roman"/>
          <w:bCs/>
          <w:sz w:val="28"/>
          <w:szCs w:val="28"/>
        </w:rPr>
        <w:t xml:space="preserve">внутреннего финансового контроля и внутреннего </w:t>
      </w:r>
      <w:r w:rsidRPr="00DB408C">
        <w:rPr>
          <w:rFonts w:ascii="Times New Roman" w:eastAsiaTheme="majorEastAsia" w:hAnsi="Times New Roman" w:cs="Times New Roman"/>
          <w:bCs/>
          <w:sz w:val="28"/>
          <w:szCs w:val="28"/>
        </w:rPr>
        <w:t>финансового аудита проверок, направленных на решение поставленных перед ним задач.</w:t>
      </w:r>
    </w:p>
    <w:p w:rsidR="006A4E48" w:rsidRPr="00DB408C" w:rsidRDefault="006A4E48" w:rsidP="00A762C6">
      <w:pPr>
        <w:pStyle w:val="a8"/>
        <w:tabs>
          <w:tab w:val="left" w:pos="1134"/>
        </w:tabs>
        <w:spacing w:after="0" w:line="240" w:lineRule="auto"/>
        <w:ind w:left="426"/>
        <w:jc w:val="both"/>
        <w:rPr>
          <w:rFonts w:ascii="Times New Roman" w:eastAsiaTheme="majorEastAsia" w:hAnsi="Times New Roman" w:cs="Times New Roman"/>
          <w:bCs/>
          <w:sz w:val="28"/>
          <w:szCs w:val="28"/>
        </w:rPr>
      </w:pPr>
    </w:p>
    <w:p w:rsidR="001A7996" w:rsidRPr="00DB408C" w:rsidRDefault="001A7996" w:rsidP="00A762C6">
      <w:pPr>
        <w:pStyle w:val="a8"/>
        <w:numPr>
          <w:ilvl w:val="0"/>
          <w:numId w:val="1"/>
        </w:numPr>
        <w:spacing w:after="0" w:line="240" w:lineRule="auto"/>
        <w:jc w:val="center"/>
        <w:outlineLvl w:val="0"/>
        <w:rPr>
          <w:rFonts w:ascii="Times New Roman" w:eastAsiaTheme="majorEastAsia" w:hAnsi="Times New Roman" w:cs="Times New Roman"/>
          <w:b/>
          <w:bCs/>
          <w:sz w:val="28"/>
          <w:szCs w:val="28"/>
        </w:rPr>
      </w:pPr>
      <w:bookmarkStart w:id="4" w:name="_Toc342242"/>
      <w:r w:rsidRPr="00DB408C">
        <w:rPr>
          <w:rFonts w:ascii="Times New Roman" w:eastAsiaTheme="majorEastAsia" w:hAnsi="Times New Roman" w:cs="Times New Roman"/>
          <w:b/>
          <w:bCs/>
          <w:sz w:val="28"/>
          <w:szCs w:val="28"/>
        </w:rPr>
        <w:t xml:space="preserve">Подготовка к проведению и периодичность проведения проверки и анализа эффективности </w:t>
      </w:r>
      <w:bookmarkEnd w:id="4"/>
      <w:r w:rsidR="00FD2FF2" w:rsidRPr="00DB408C">
        <w:rPr>
          <w:rFonts w:ascii="Times New Roman" w:eastAsiaTheme="majorEastAsia" w:hAnsi="Times New Roman" w:cs="Times New Roman"/>
          <w:b/>
          <w:bCs/>
          <w:sz w:val="28"/>
          <w:szCs w:val="28"/>
        </w:rPr>
        <w:t>внутреннего финансового контроля и внутреннего финансового аудита</w:t>
      </w:r>
    </w:p>
    <w:p w:rsidR="00FD6800" w:rsidRPr="00A762C6" w:rsidRDefault="00FD6800" w:rsidP="00A762C6">
      <w:pPr>
        <w:pStyle w:val="a8"/>
        <w:spacing w:after="0" w:line="240" w:lineRule="auto"/>
        <w:jc w:val="center"/>
        <w:outlineLvl w:val="0"/>
        <w:rPr>
          <w:rFonts w:ascii="Times New Roman" w:eastAsiaTheme="majorEastAsia" w:hAnsi="Times New Roman" w:cs="Times New Roman"/>
          <w:b/>
          <w:bCs/>
          <w:color w:val="FF0000"/>
          <w:sz w:val="28"/>
          <w:szCs w:val="28"/>
        </w:rPr>
      </w:pPr>
    </w:p>
    <w:p w:rsidR="00FD6800" w:rsidRPr="00DB408C" w:rsidRDefault="00FD6800" w:rsidP="00A762C6">
      <w:pPr>
        <w:pStyle w:val="a8"/>
        <w:numPr>
          <w:ilvl w:val="0"/>
          <w:numId w:val="5"/>
        </w:numPr>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Подготовка к проведению проверки и анализа эффективности </w:t>
      </w:r>
      <w:r w:rsidR="00422C38" w:rsidRPr="00DB408C">
        <w:rPr>
          <w:rFonts w:ascii="Times New Roman" w:hAnsi="Times New Roman" w:cs="Times New Roman"/>
          <w:bCs/>
          <w:sz w:val="28"/>
          <w:szCs w:val="28"/>
        </w:rPr>
        <w:t xml:space="preserve">внутреннего финансового контроля и внутреннего финансового аудита </w:t>
      </w:r>
      <w:r w:rsidRPr="00DB408C">
        <w:rPr>
          <w:rFonts w:ascii="Times New Roman" w:eastAsiaTheme="majorEastAsia" w:hAnsi="Times New Roman" w:cs="Times New Roman"/>
          <w:bCs/>
          <w:sz w:val="28"/>
          <w:szCs w:val="28"/>
        </w:rPr>
        <w:t>начинается с изучения результатов контрольных и экспертно-аналитических мероприятий Контрольно-счетной палаты, результатов проверок других органов финансового контроля</w:t>
      </w:r>
      <w:r w:rsidR="00AE6502" w:rsidRPr="00DB408C">
        <w:rPr>
          <w:rFonts w:ascii="Times New Roman" w:eastAsiaTheme="majorEastAsia" w:hAnsi="Times New Roman" w:cs="Times New Roman"/>
          <w:bCs/>
          <w:sz w:val="28"/>
          <w:szCs w:val="28"/>
        </w:rPr>
        <w:t>, относящихся к данному главному администратору бюджетных средств, администратору бюджетных средств.</w:t>
      </w:r>
    </w:p>
    <w:p w:rsidR="00811E03" w:rsidRPr="00DB408C" w:rsidRDefault="00811E03" w:rsidP="00A762C6">
      <w:pPr>
        <w:pStyle w:val="a8"/>
        <w:numPr>
          <w:ilvl w:val="0"/>
          <w:numId w:val="5"/>
        </w:numPr>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По результатам предварительного изучения</w:t>
      </w:r>
      <w:r w:rsidR="00E4493A" w:rsidRPr="00DB408C">
        <w:rPr>
          <w:rFonts w:ascii="Times New Roman" w:eastAsiaTheme="majorEastAsia" w:hAnsi="Times New Roman" w:cs="Times New Roman"/>
          <w:bCs/>
          <w:sz w:val="28"/>
          <w:szCs w:val="28"/>
        </w:rPr>
        <w:t xml:space="preserve"> главного администратора бюджетных средств, администратора бюджетных средств и </w:t>
      </w:r>
      <w:r w:rsidRPr="00DB408C">
        <w:rPr>
          <w:rFonts w:ascii="Times New Roman" w:eastAsiaTheme="majorEastAsia" w:hAnsi="Times New Roman" w:cs="Times New Roman"/>
          <w:bCs/>
          <w:sz w:val="28"/>
          <w:szCs w:val="28"/>
        </w:rPr>
        <w:t xml:space="preserve">с учетом положений об оценке внутреннего финансового аудита, изложенных в разделе 5 настоящего Стандарта, подготавливается программа проведения проверки и анализа эффективности </w:t>
      </w:r>
      <w:r w:rsidR="00EC6900"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xml:space="preserve"> при самостоятельных контрольных и экспертно-аналитических мероприятиях или раздел общей программы «Проверка и анализ эффективности внутреннего финансового аудита» в рамках осуществления контроля исполнения бюджета.</w:t>
      </w:r>
    </w:p>
    <w:p w:rsidR="00B07ADA" w:rsidRPr="00DB408C" w:rsidRDefault="00B07ADA"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Подготовка и утверждение программы осуществляется в порядке, установленном стандартами внешнего муниципального финансового контроля Контрольно-счетной палаты «Общие правила проведения контрольного мероприятия» и «Проведение экспертно-аналитического мероприятия».</w:t>
      </w:r>
    </w:p>
    <w:p w:rsidR="00AA144C" w:rsidRPr="00DB408C" w:rsidRDefault="00AA144C"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lastRenderedPageBreak/>
        <w:t xml:space="preserve">На основании программы проведения проверки и анализа эффективности </w:t>
      </w:r>
      <w:r w:rsidR="00264BC5"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а также по результатам анализа имеющейся информации о главном администраторе бюджетных средств, администраторе бюджетных средств могут быть направлены запросы в адрес руководства проверяемого главного администратора бюджетных средств, администратора бюджетных средств, содержащие перечень необходимых документов и информации.</w:t>
      </w:r>
    </w:p>
    <w:p w:rsidR="00960953" w:rsidRPr="00DB408C" w:rsidRDefault="00AA144C"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Включению в запросы подлежит:</w:t>
      </w:r>
    </w:p>
    <w:p w:rsidR="00960953" w:rsidRPr="00DB408C" w:rsidRDefault="00960953"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локальные нормативные акты и документы главного администратора бюджетных средств по осуществлению внутреннего финансового контроля и внутреннего финансового аудита;</w:t>
      </w:r>
    </w:p>
    <w:p w:rsidR="00AA144C" w:rsidRPr="00DB408C" w:rsidRDefault="00AA144C"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годовая отчетность субъекта внутреннего финансового аудита, содержащая информацию, подтверждающую выводы о надежности внутреннего финансового контроля, достоверности сводной бюджетной отчетности главного администратора бюджетных средств, администратора бюджетных средств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AA144C" w:rsidRPr="00DB408C" w:rsidRDefault="00AA144C"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годовые планы работы и программы проверок, осуществленных субъектом</w:t>
      </w:r>
      <w:r w:rsidR="00CB14C0" w:rsidRPr="00DB408C">
        <w:rPr>
          <w:rFonts w:ascii="Times New Roman" w:eastAsiaTheme="majorEastAsia" w:hAnsi="Times New Roman" w:cs="Times New Roman"/>
          <w:bCs/>
          <w:sz w:val="28"/>
          <w:szCs w:val="28"/>
        </w:rPr>
        <w:t xml:space="preserve"> внутреннего финансового контроля и </w:t>
      </w:r>
      <w:r w:rsidRPr="00DB408C">
        <w:rPr>
          <w:rFonts w:ascii="Times New Roman" w:eastAsiaTheme="majorEastAsia" w:hAnsi="Times New Roman" w:cs="Times New Roman"/>
          <w:bCs/>
          <w:sz w:val="28"/>
          <w:szCs w:val="28"/>
        </w:rPr>
        <w:t>аудита;</w:t>
      </w:r>
    </w:p>
    <w:p w:rsidR="0059389B" w:rsidRPr="00DB408C" w:rsidRDefault="00AA144C"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акты, составленные по результатам проверок, осуществленных субъектом внутреннего финансового аудита. Запрашивается также информация по выявленным в ходе проверок органов </w:t>
      </w:r>
      <w:r w:rsidR="00571721" w:rsidRPr="00DB408C">
        <w:rPr>
          <w:rFonts w:ascii="Times New Roman" w:eastAsiaTheme="majorEastAsia" w:hAnsi="Times New Roman" w:cs="Times New Roman"/>
          <w:bCs/>
          <w:sz w:val="28"/>
          <w:szCs w:val="28"/>
        </w:rPr>
        <w:t xml:space="preserve">муниципального </w:t>
      </w:r>
      <w:r w:rsidRPr="00DB408C">
        <w:rPr>
          <w:rFonts w:ascii="Times New Roman" w:eastAsiaTheme="majorEastAsia" w:hAnsi="Times New Roman" w:cs="Times New Roman"/>
          <w:bCs/>
          <w:sz w:val="28"/>
          <w:szCs w:val="28"/>
        </w:rPr>
        <w:t>финансового контроля и не устраненным нарушениям</w:t>
      </w:r>
      <w:r w:rsidR="00DB408C">
        <w:rPr>
          <w:rFonts w:ascii="Times New Roman" w:eastAsiaTheme="majorEastAsia" w:hAnsi="Times New Roman" w:cs="Times New Roman"/>
          <w:bCs/>
          <w:sz w:val="28"/>
          <w:szCs w:val="28"/>
        </w:rPr>
        <w:t>,</w:t>
      </w:r>
      <w:r w:rsidRPr="00DB408C">
        <w:rPr>
          <w:rFonts w:ascii="Times New Roman" w:eastAsiaTheme="majorEastAsia" w:hAnsi="Times New Roman" w:cs="Times New Roman"/>
          <w:bCs/>
          <w:sz w:val="28"/>
          <w:szCs w:val="28"/>
        </w:rPr>
        <w:t xml:space="preserve"> и недостаткам в работе субъекта</w:t>
      </w:r>
      <w:r w:rsidR="0059389B" w:rsidRPr="00DB408C">
        <w:rPr>
          <w:rFonts w:ascii="Times New Roman" w:eastAsiaTheme="majorEastAsia" w:hAnsi="Times New Roman" w:cs="Times New Roman"/>
          <w:bCs/>
          <w:sz w:val="28"/>
          <w:szCs w:val="28"/>
        </w:rPr>
        <w:t xml:space="preserve"> внутреннего финансового аудита.</w:t>
      </w:r>
    </w:p>
    <w:p w:rsidR="00F13C88" w:rsidRPr="00DB408C" w:rsidRDefault="0059389B" w:rsidP="00A762C6">
      <w:pPr>
        <w:pStyle w:val="a8"/>
        <w:tabs>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4.4. </w:t>
      </w:r>
      <w:r w:rsidR="00F13C88" w:rsidRPr="00DB408C">
        <w:rPr>
          <w:rFonts w:ascii="Times New Roman" w:eastAsiaTheme="majorEastAsia" w:hAnsi="Times New Roman" w:cs="Times New Roman"/>
          <w:bCs/>
          <w:sz w:val="28"/>
          <w:szCs w:val="28"/>
        </w:rPr>
        <w:t xml:space="preserve">Проведение проверки и анализа эффективности </w:t>
      </w:r>
      <w:r w:rsidR="00AD2B9D"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осуществляемого главным администратором бюджетных средств, администратором бюджетных средств</w:t>
      </w:r>
      <w:r w:rsidR="00F13C88" w:rsidRPr="00DB408C">
        <w:rPr>
          <w:rFonts w:ascii="Times New Roman" w:eastAsiaTheme="majorEastAsia" w:hAnsi="Times New Roman" w:cs="Times New Roman"/>
          <w:bCs/>
          <w:sz w:val="28"/>
          <w:szCs w:val="28"/>
        </w:rPr>
        <w:t xml:space="preserve"> осуществляется в соответствии с планом работы Контрольно-счетной палаты.</w:t>
      </w:r>
    </w:p>
    <w:p w:rsidR="00CC20F3" w:rsidRPr="00DB408C" w:rsidRDefault="00CC20F3" w:rsidP="00A762C6">
      <w:pPr>
        <w:pStyle w:val="a8"/>
        <w:tabs>
          <w:tab w:val="left" w:pos="1134"/>
        </w:tabs>
        <w:spacing w:after="0" w:line="240" w:lineRule="auto"/>
        <w:ind w:left="0" w:firstLine="426"/>
        <w:jc w:val="both"/>
        <w:outlineLvl w:val="0"/>
        <w:rPr>
          <w:rFonts w:ascii="Times New Roman" w:eastAsiaTheme="majorEastAsia" w:hAnsi="Times New Roman" w:cs="Times New Roman"/>
          <w:bCs/>
          <w:sz w:val="28"/>
          <w:szCs w:val="28"/>
        </w:rPr>
      </w:pPr>
    </w:p>
    <w:p w:rsidR="00CC20F3" w:rsidRPr="00DB408C" w:rsidRDefault="00CC20F3" w:rsidP="00A762C6">
      <w:pPr>
        <w:pStyle w:val="a8"/>
        <w:numPr>
          <w:ilvl w:val="0"/>
          <w:numId w:val="1"/>
        </w:numPr>
        <w:tabs>
          <w:tab w:val="left" w:pos="1134"/>
        </w:tabs>
        <w:spacing w:after="0" w:line="240" w:lineRule="auto"/>
        <w:jc w:val="center"/>
        <w:outlineLvl w:val="0"/>
        <w:rPr>
          <w:rFonts w:ascii="Times New Roman" w:eastAsiaTheme="majorEastAsia" w:hAnsi="Times New Roman" w:cs="Times New Roman"/>
          <w:b/>
          <w:bCs/>
          <w:sz w:val="28"/>
          <w:szCs w:val="28"/>
        </w:rPr>
      </w:pPr>
      <w:bookmarkStart w:id="5" w:name="_Toc342243"/>
      <w:r w:rsidRPr="00DB408C">
        <w:rPr>
          <w:rFonts w:ascii="Times New Roman" w:eastAsiaTheme="majorEastAsia" w:hAnsi="Times New Roman" w:cs="Times New Roman"/>
          <w:b/>
          <w:bCs/>
          <w:sz w:val="28"/>
          <w:szCs w:val="28"/>
        </w:rPr>
        <w:t xml:space="preserve">Проверка и анализ эффективности </w:t>
      </w:r>
      <w:bookmarkEnd w:id="5"/>
      <w:r w:rsidR="00901EC4" w:rsidRPr="00DB408C">
        <w:rPr>
          <w:rFonts w:ascii="Times New Roman" w:eastAsiaTheme="majorEastAsia" w:hAnsi="Times New Roman" w:cs="Times New Roman"/>
          <w:b/>
          <w:bCs/>
          <w:sz w:val="28"/>
          <w:szCs w:val="28"/>
        </w:rPr>
        <w:t>внутреннего финансового контроля и внутреннего финансового аудита</w:t>
      </w:r>
    </w:p>
    <w:p w:rsidR="00E05972" w:rsidRPr="00DB408C" w:rsidRDefault="00E05972" w:rsidP="00A762C6">
      <w:pPr>
        <w:pStyle w:val="a8"/>
        <w:tabs>
          <w:tab w:val="left" w:pos="1134"/>
        </w:tabs>
        <w:spacing w:after="0" w:line="240" w:lineRule="auto"/>
        <w:ind w:left="0" w:firstLine="426"/>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Оценка эффективности </w:t>
      </w:r>
      <w:r w:rsidR="00901EC4"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xml:space="preserve"> осуществляется по результатам двух этапов.</w:t>
      </w:r>
    </w:p>
    <w:p w:rsidR="00177361" w:rsidRPr="00DB408C" w:rsidRDefault="00177361" w:rsidP="00A762C6">
      <w:pPr>
        <w:pStyle w:val="a8"/>
        <w:numPr>
          <w:ilvl w:val="0"/>
          <w:numId w:val="6"/>
        </w:numPr>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На первом этапе осуществляется оценка системы </w:t>
      </w:r>
      <w:r w:rsidR="00901EC4"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в рамках которого проверяется и анализируется подготовленность указанной системы к обеспечению выполнения поставленных перед ней задач, включая:</w:t>
      </w:r>
    </w:p>
    <w:p w:rsidR="00177361" w:rsidRPr="00DB408C" w:rsidRDefault="0017736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наличие и характеристика нормативного акта главного администратора бюджетных средств, администратора бюджетных средств об организации </w:t>
      </w:r>
      <w:r w:rsidR="001B09BD"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w:t>
      </w:r>
    </w:p>
    <w:p w:rsidR="00177361" w:rsidRPr="00DB408C" w:rsidRDefault="0017736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закрепление полномочий субъекта </w:t>
      </w:r>
      <w:r w:rsidR="00F11AE5"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xml:space="preserve">, уровень </w:t>
      </w:r>
      <w:r w:rsidR="00F11AE5" w:rsidRPr="00DB408C">
        <w:rPr>
          <w:rFonts w:ascii="Times New Roman" w:eastAsiaTheme="majorEastAsia" w:hAnsi="Times New Roman" w:cs="Times New Roman"/>
          <w:bCs/>
          <w:sz w:val="28"/>
          <w:szCs w:val="28"/>
        </w:rPr>
        <w:t>их</w:t>
      </w:r>
      <w:r w:rsidRPr="00DB408C">
        <w:rPr>
          <w:rFonts w:ascii="Times New Roman" w:eastAsiaTheme="majorEastAsia" w:hAnsi="Times New Roman" w:cs="Times New Roman"/>
          <w:bCs/>
          <w:sz w:val="28"/>
          <w:szCs w:val="28"/>
        </w:rPr>
        <w:t xml:space="preserve"> подотчетности;</w:t>
      </w:r>
    </w:p>
    <w:p w:rsidR="00177361" w:rsidRPr="00DB408C" w:rsidRDefault="0017736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lastRenderedPageBreak/>
        <w:t xml:space="preserve">наличие и систематичность контроля качества </w:t>
      </w:r>
      <w:r w:rsidR="00762DED"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w:t>
      </w:r>
    </w:p>
    <w:p w:rsidR="0051618A" w:rsidRPr="00DB408C" w:rsidRDefault="0051618A"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DB408C">
        <w:rPr>
          <w:rFonts w:ascii="Times New Roman" w:eastAsiaTheme="majorEastAsia" w:hAnsi="Times New Roman" w:cs="Times New Roman"/>
          <w:bCs/>
          <w:sz w:val="28"/>
          <w:szCs w:val="28"/>
        </w:rPr>
        <w:t xml:space="preserve">укомплектованность и профессиональная квалификация сотрудников субъекта </w:t>
      </w:r>
      <w:r w:rsidR="00312BBE"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w:t>
      </w:r>
    </w:p>
    <w:p w:rsidR="0051618A" w:rsidRPr="003D497B" w:rsidRDefault="0051618A"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DB408C">
        <w:rPr>
          <w:rFonts w:ascii="Times New Roman" w:eastAsiaTheme="majorEastAsia" w:hAnsi="Times New Roman" w:cs="Times New Roman"/>
          <w:bCs/>
          <w:sz w:val="28"/>
          <w:szCs w:val="28"/>
        </w:rPr>
        <w:t xml:space="preserve">организация планирования </w:t>
      </w:r>
      <w:r w:rsidR="009E3916" w:rsidRPr="00DB408C">
        <w:rPr>
          <w:rFonts w:ascii="Times New Roman" w:hAnsi="Times New Roman" w:cs="Times New Roman"/>
          <w:bCs/>
          <w:sz w:val="28"/>
          <w:szCs w:val="28"/>
        </w:rPr>
        <w:t>внутреннего финансового контроля и внутреннего финансового аудита</w:t>
      </w:r>
      <w:r w:rsidRPr="00DB408C">
        <w:rPr>
          <w:rFonts w:ascii="Times New Roman" w:eastAsiaTheme="majorEastAsia" w:hAnsi="Times New Roman" w:cs="Times New Roman"/>
          <w:bCs/>
          <w:sz w:val="28"/>
          <w:szCs w:val="28"/>
        </w:rPr>
        <w:t xml:space="preserve">, соответствие порядка планирования внутреннего финансового аудита положениям </w:t>
      </w:r>
      <w:r w:rsidR="003D497B" w:rsidRPr="00DB408C">
        <w:rPr>
          <w:rFonts w:ascii="Times New Roman" w:eastAsiaTheme="majorEastAsia" w:hAnsi="Times New Roman" w:cs="Times New Roman"/>
          <w:bCs/>
          <w:sz w:val="28"/>
          <w:szCs w:val="28"/>
        </w:rPr>
        <w:t xml:space="preserve">нормативного акта главного администратора бюджетных средств, администратора бюджетных средств об </w:t>
      </w:r>
      <w:r w:rsidR="003D497B" w:rsidRPr="003D497B">
        <w:rPr>
          <w:rFonts w:ascii="Times New Roman" w:eastAsiaTheme="majorEastAsia" w:hAnsi="Times New Roman" w:cs="Times New Roman"/>
          <w:bCs/>
          <w:sz w:val="28"/>
          <w:szCs w:val="28"/>
        </w:rPr>
        <w:t xml:space="preserve">организации </w:t>
      </w:r>
      <w:r w:rsidR="003D497B" w:rsidRPr="003D497B">
        <w:rPr>
          <w:rFonts w:ascii="Times New Roman" w:hAnsi="Times New Roman" w:cs="Times New Roman"/>
          <w:bCs/>
          <w:sz w:val="28"/>
          <w:szCs w:val="28"/>
        </w:rPr>
        <w:t>внутреннего финансового контроля и внутреннего финансового аудита</w:t>
      </w:r>
      <w:r w:rsidR="00C818B5" w:rsidRPr="003D497B">
        <w:rPr>
          <w:rFonts w:ascii="Times New Roman" w:hAnsi="Times New Roman" w:cs="Times New Roman"/>
          <w:sz w:val="28"/>
          <w:szCs w:val="28"/>
        </w:rPr>
        <w:t>;</w:t>
      </w:r>
    </w:p>
    <w:p w:rsidR="00C818B5" w:rsidRPr="00491C8C" w:rsidRDefault="00A83578"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организация системы осуществления внутреннего финансового аудита, включая степень охвата проверками подведомственных организаций;</w:t>
      </w:r>
    </w:p>
    <w:p w:rsidR="003D497B" w:rsidRPr="003D497B" w:rsidRDefault="00A83578" w:rsidP="003D497B">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eastAsiaTheme="majorEastAsia" w:hAnsi="Times New Roman" w:cs="Times New Roman"/>
          <w:bCs/>
          <w:sz w:val="28"/>
          <w:szCs w:val="28"/>
        </w:rPr>
        <w:t>организация системы отчетности о результатах деятельности субъект</w:t>
      </w:r>
      <w:r w:rsidR="00FD2C74" w:rsidRPr="00491C8C">
        <w:rPr>
          <w:rFonts w:ascii="Times New Roman" w:eastAsiaTheme="majorEastAsia" w:hAnsi="Times New Roman" w:cs="Times New Roman"/>
          <w:bCs/>
          <w:sz w:val="28"/>
          <w:szCs w:val="28"/>
        </w:rPr>
        <w:t>ов</w:t>
      </w:r>
      <w:r w:rsidRPr="00491C8C">
        <w:rPr>
          <w:rFonts w:ascii="Times New Roman" w:eastAsiaTheme="majorEastAsia" w:hAnsi="Times New Roman" w:cs="Times New Roman"/>
          <w:bCs/>
          <w:sz w:val="28"/>
          <w:szCs w:val="28"/>
        </w:rPr>
        <w:t xml:space="preserve"> </w:t>
      </w:r>
      <w:r w:rsidR="00FD2C74" w:rsidRPr="00491C8C">
        <w:rPr>
          <w:rFonts w:ascii="Times New Roman" w:hAnsi="Times New Roman" w:cs="Times New Roman"/>
          <w:bCs/>
          <w:sz w:val="28"/>
          <w:szCs w:val="28"/>
        </w:rPr>
        <w:t>внутреннего финансового контроля и внутреннего финансового аудита</w:t>
      </w:r>
      <w:r w:rsidRPr="00491C8C">
        <w:rPr>
          <w:rFonts w:ascii="Times New Roman" w:eastAsiaTheme="majorEastAsia" w:hAnsi="Times New Roman" w:cs="Times New Roman"/>
          <w:bCs/>
          <w:sz w:val="28"/>
          <w:szCs w:val="28"/>
        </w:rPr>
        <w:t xml:space="preserve">, в том числе соответствие содержания отчетов о результатах проверок </w:t>
      </w:r>
      <w:r w:rsidR="003D497B" w:rsidRPr="00DB408C">
        <w:rPr>
          <w:rFonts w:ascii="Times New Roman" w:eastAsiaTheme="majorEastAsia" w:hAnsi="Times New Roman" w:cs="Times New Roman"/>
          <w:bCs/>
          <w:sz w:val="28"/>
          <w:szCs w:val="28"/>
        </w:rPr>
        <w:t xml:space="preserve">положениям нормативного акта главного администратора бюджетных средств, администратора бюджетных средств об </w:t>
      </w:r>
      <w:r w:rsidR="003D497B" w:rsidRPr="003D497B">
        <w:rPr>
          <w:rFonts w:ascii="Times New Roman" w:eastAsiaTheme="majorEastAsia" w:hAnsi="Times New Roman" w:cs="Times New Roman"/>
          <w:bCs/>
          <w:sz w:val="28"/>
          <w:szCs w:val="28"/>
        </w:rPr>
        <w:t xml:space="preserve">организации </w:t>
      </w:r>
      <w:r w:rsidR="003D497B" w:rsidRPr="003D497B">
        <w:rPr>
          <w:rFonts w:ascii="Times New Roman" w:hAnsi="Times New Roman" w:cs="Times New Roman"/>
          <w:bCs/>
          <w:sz w:val="28"/>
          <w:szCs w:val="28"/>
        </w:rPr>
        <w:t>внутреннего финансового контроля и внутреннего финансового аудита</w:t>
      </w:r>
      <w:r w:rsidR="003D497B" w:rsidRPr="003D497B">
        <w:rPr>
          <w:rFonts w:ascii="Times New Roman" w:hAnsi="Times New Roman" w:cs="Times New Roman"/>
          <w:sz w:val="28"/>
          <w:szCs w:val="28"/>
        </w:rPr>
        <w:t>;</w:t>
      </w:r>
    </w:p>
    <w:p w:rsidR="00A83578" w:rsidRPr="00491C8C" w:rsidRDefault="00A83578"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взаимодействие субъект</w:t>
      </w:r>
      <w:r w:rsidR="004219E7" w:rsidRPr="00491C8C">
        <w:rPr>
          <w:rFonts w:ascii="Times New Roman" w:hAnsi="Times New Roman" w:cs="Times New Roman"/>
          <w:sz w:val="28"/>
          <w:szCs w:val="28"/>
        </w:rPr>
        <w:t>ов</w:t>
      </w:r>
      <w:r w:rsidRPr="00491C8C">
        <w:rPr>
          <w:rFonts w:ascii="Times New Roman" w:hAnsi="Times New Roman" w:cs="Times New Roman"/>
          <w:sz w:val="28"/>
          <w:szCs w:val="28"/>
        </w:rPr>
        <w:t xml:space="preserve"> </w:t>
      </w:r>
      <w:r w:rsidR="004219E7" w:rsidRPr="00491C8C">
        <w:rPr>
          <w:rFonts w:ascii="Times New Roman" w:hAnsi="Times New Roman" w:cs="Times New Roman"/>
          <w:bCs/>
          <w:sz w:val="28"/>
          <w:szCs w:val="28"/>
        </w:rPr>
        <w:t>внутреннего финансового контроля и внутреннего финансового аудита</w:t>
      </w:r>
      <w:r w:rsidR="004219E7" w:rsidRPr="00491C8C">
        <w:rPr>
          <w:rFonts w:ascii="Times New Roman" w:hAnsi="Times New Roman" w:cs="Times New Roman"/>
          <w:sz w:val="28"/>
          <w:szCs w:val="28"/>
        </w:rPr>
        <w:t xml:space="preserve"> </w:t>
      </w:r>
      <w:r w:rsidRPr="00491C8C">
        <w:rPr>
          <w:rFonts w:ascii="Times New Roman" w:hAnsi="Times New Roman" w:cs="Times New Roman"/>
          <w:sz w:val="28"/>
          <w:szCs w:val="28"/>
        </w:rPr>
        <w:t>с органами финансового контроля.</w:t>
      </w:r>
    </w:p>
    <w:p w:rsidR="00F25D93" w:rsidRPr="00491C8C" w:rsidRDefault="00F25D93"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Для формализованной оценки внутреннего финансового аудита и формирования количественных оценок по соответствующим признакам на первом этапе оценки используется перечень вопросов (далее – Перечень), приведенный в Приложении № 1 к настоящему Стандарту.</w:t>
      </w:r>
    </w:p>
    <w:p w:rsidR="00F25D93" w:rsidRPr="00491C8C" w:rsidRDefault="00F25D93"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В Перечне выбираемые ответы на каждый вопрос расположены в порядке возрастания оценок, характеризующих степень внутреннего финансового аудита по данному признаку: первый ответ – самая низкая оценка (1), последний ответ – самая высокая оценка (7).</w:t>
      </w:r>
    </w:p>
    <w:p w:rsidR="00F25D93" w:rsidRPr="00491C8C" w:rsidRDefault="00F25D93"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Оценки, полученные в результате ответов на вопросы Перечня, отражаются в Таблице, приведенной в Приложении № 2 к Стандарту. Последняя графа данной Таблицы характеризует интегральную оценку внутреннего финансового аудита в главном администраторе бюджетных средств, администраторе бюджетных средств (на первом этапе оценки), рассчитанную на основе обобщения оценок по всем вопросам Перечня.</w:t>
      </w:r>
    </w:p>
    <w:p w:rsidR="008C3CBB" w:rsidRPr="00491C8C" w:rsidRDefault="008C3CBB"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 xml:space="preserve">Внутренний финансовый аудит оценивается как: </w:t>
      </w:r>
    </w:p>
    <w:p w:rsidR="008C3CBB" w:rsidRPr="00491C8C" w:rsidRDefault="008C3CBB"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 xml:space="preserve">высокий – при интегральной оценке от 5 до 7 баллов; </w:t>
      </w:r>
    </w:p>
    <w:p w:rsidR="008C3CBB" w:rsidRPr="00491C8C" w:rsidRDefault="008C3CBB"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средний – при интегральной оценке от более чем 2 до менее чем 5 баллов;</w:t>
      </w:r>
    </w:p>
    <w:p w:rsidR="008C3CBB" w:rsidRPr="00491C8C" w:rsidRDefault="008C3CBB"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491C8C">
        <w:rPr>
          <w:rFonts w:ascii="Times New Roman" w:hAnsi="Times New Roman" w:cs="Times New Roman"/>
          <w:sz w:val="28"/>
          <w:szCs w:val="28"/>
        </w:rPr>
        <w:t>низкий – при интегральной оценке от 1 до 2 баллов.</w:t>
      </w:r>
    </w:p>
    <w:p w:rsidR="00A83578" w:rsidRPr="00491C8C" w:rsidRDefault="00480F62" w:rsidP="00A762C6">
      <w:pPr>
        <w:pStyle w:val="a8"/>
        <w:numPr>
          <w:ilvl w:val="1"/>
          <w:numId w:val="1"/>
        </w:numPr>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На втором этапе проводится оценка эффективности системы </w:t>
      </w:r>
      <w:r w:rsidR="00880AF8" w:rsidRPr="00491C8C">
        <w:rPr>
          <w:rFonts w:ascii="Times New Roman" w:hAnsi="Times New Roman" w:cs="Times New Roman"/>
          <w:bCs/>
          <w:sz w:val="28"/>
          <w:szCs w:val="28"/>
        </w:rPr>
        <w:t>внутреннего финансового контроля и внутреннего финансового аудита</w:t>
      </w:r>
      <w:r w:rsidRPr="00491C8C">
        <w:rPr>
          <w:rFonts w:ascii="Times New Roman" w:eastAsiaTheme="majorEastAsia" w:hAnsi="Times New Roman" w:cs="Times New Roman"/>
          <w:bCs/>
          <w:sz w:val="28"/>
          <w:szCs w:val="28"/>
        </w:rPr>
        <w:t xml:space="preserve">, в рамках которой осуществляются изучение и анализ конкретных результатов функционирования указанной системы. На основании анализа оценивается </w:t>
      </w:r>
      <w:r w:rsidRPr="00491C8C">
        <w:rPr>
          <w:rFonts w:ascii="Times New Roman" w:eastAsiaTheme="majorEastAsia" w:hAnsi="Times New Roman" w:cs="Times New Roman"/>
          <w:bCs/>
          <w:sz w:val="28"/>
          <w:szCs w:val="28"/>
        </w:rPr>
        <w:lastRenderedPageBreak/>
        <w:t>эффективность выполнения поставленных задач в части оценки внутренним финансовым аудитом:</w:t>
      </w:r>
    </w:p>
    <w:p w:rsidR="00F5696B" w:rsidRPr="00491C8C" w:rsidRDefault="00F5696B"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степени надежности внутреннего финансового контроля и подготовки рекомендаций по повышению его эффективности;</w:t>
      </w:r>
    </w:p>
    <w:p w:rsidR="00F5696B" w:rsidRPr="00491C8C" w:rsidRDefault="00F5696B"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подтверждения достоверности бюджетной отчетности и соответствия порядка ведения бюджетного учета установленным методологии и стандартам бюджетного учета;</w:t>
      </w:r>
    </w:p>
    <w:p w:rsidR="00F5696B" w:rsidRPr="00491C8C" w:rsidRDefault="00F5696B"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подготовки предложений по повышению экономности и результативности использования бюджетных средств. </w:t>
      </w:r>
    </w:p>
    <w:p w:rsidR="00F5696B" w:rsidRPr="00491C8C" w:rsidRDefault="00F5696B"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На этом этапе при оценке эффективности системы внутреннего финансового аудита следует опираться на непосредственные результаты проводимых субъектом внутреннего финансового аудита проверок в рамках выполнения указанных задач: </w:t>
      </w:r>
    </w:p>
    <w:p w:rsidR="00F5696B" w:rsidRPr="00491C8C" w:rsidRDefault="00F5696B"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объемы проверенных бюджетных средств;</w:t>
      </w:r>
    </w:p>
    <w:p w:rsidR="00573192" w:rsidRPr="00491C8C" w:rsidRDefault="00573192"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выявленные нарушения в использовании бюджетных средств и государственной собственности, в том числе не по целевому назначению, в подготовке бюджетной отчетности и ведении бюджетного учета; </w:t>
      </w:r>
    </w:p>
    <w:p w:rsidR="00573192" w:rsidRPr="00491C8C" w:rsidRDefault="00573192"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принятые меры по устранению нарушений.</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Информация об объемах и структуре нарушений, выявленных по результатам проверок субъекта внутреннего финансового аудита, и принятых мерах по их устранению заполняется в соответствии с Приложением № 3 к Стандарту; анализируются акты проверок, проведенных субъектом внутреннего финансового аудита, оценивается достаточность доказательств при формировании сделанных им выводов о нарушениях при совершении финансовых и хозяйственных операций. </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Также анализируются решения руководителя главного администратора бюджетных средств, администратора бюджетных средств по отчетам о результатах внутренних проверок, в том числе: </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 необходимости реализации выводов, предложений и рекомендаций;</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 недостаточной обоснованности выводов, предложений и рекомендаций;</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о направлении материалов в орган государственного финансового контроля и (или)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В ходе контрольного мероприятия в рамках проверки и анализа эффективности внутреннего финансового аудита проводятся проверки областей финансово-хозяйственной деятельности, охваченных аудиторскими проверками субъекта внутреннего финансового аудита с учетом существенности и наибольших рисков возможных нарушений, в том числе: </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в части организации внутреннего финансового контроля – наличие утвержденного порядка внутреннего финансового контроля, ведение, учет и хранение регистров (журналов) внутреннего финансового контроля, </w:t>
      </w:r>
      <w:r w:rsidRPr="00491C8C">
        <w:rPr>
          <w:rFonts w:ascii="Times New Roman" w:eastAsiaTheme="majorEastAsia" w:hAnsi="Times New Roman" w:cs="Times New Roman"/>
          <w:bCs/>
          <w:sz w:val="28"/>
          <w:szCs w:val="28"/>
        </w:rPr>
        <w:lastRenderedPageBreak/>
        <w:t>составление и представление отчетности о результатах внутреннего финансового контроля; наличие и содержание карт внутреннего финансового контроля, сроки их утверждения, соблюдение периодичности, методов и способов контроля, указанных в картах внутреннего финансового контроля, наличие и содержание регистров (журналов) внутреннего финансового контроля, наличие отчетности о результатах внутреннего финансового контроля и решений руководства по итогам рассмотрения результатов»;</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законности выполнения внутренних бюджетных процедур и эффективности использования бюджетных средств;</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ведения учетной политики, принятой объектом внутреннего финансового аудита, вопросов бюджетного учета и бюджетной отчетности;</w:t>
      </w:r>
    </w:p>
    <w:p w:rsidR="0010772F" w:rsidRPr="00491C8C"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491C8C">
        <w:rPr>
          <w:rFonts w:ascii="Times New Roman" w:eastAsiaTheme="majorEastAsia" w:hAnsi="Times New Roman" w:cs="Times New Roman"/>
          <w:bCs/>
          <w:sz w:val="28"/>
          <w:szCs w:val="28"/>
        </w:rPr>
        <w:t xml:space="preserve">применения автоматизированных информационных систем объектами внутреннего финансового аудита при осуществлении внутренних бюджетных процедур и др. </w:t>
      </w:r>
    </w:p>
    <w:p w:rsidR="0010772F" w:rsidRPr="00326A09" w:rsidRDefault="0010772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Результаты таких проверок включаются в акт контрольного мероприятия в рамках проверки и анализа эффективности внутреннего финансового аудита. В акте фиксируются все нарушения, которые не были выявлены в отчетном периоде субъектом внутреннего финансового аудита соответствующего главного администратора бюджетных средств, администратора бюджетных средств, но были установлены в ходе проведенных Контрольно-счетной палатой проверок.</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 xml:space="preserve">При наличии проверок данного главного администратора бюджетных средств, администратора бюджетных средств, осуществленных ранее Контрольно-счетной палатой и другими органами финансового контроля, проводится сравнительный анализ их результатов с результатами аудиторских проверок, проведенных субъектом внутреннего финансового аудита. </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 xml:space="preserve">При высокой интегральной оценке внутреннего финансового аудита, полученной на первом этапе оценки, в рамках второго этапа применяются следующие критерии, свидетельствующие об эффективности функционирования системы внутреннего финансового аудита. </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Основной критерий – отсутствие в материалах проверок, проведенных Палатой и другими органами государственного финансового контроля, нарушений, которые не вскрывались бы субъектом внутреннего финансового аудита.</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Также могут применяться такие критерии, как:</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увеличение доли количества возможных нарушений, выявленных субъектом финансового внутреннего аудита на начальных стадиях процесса (до совершения операции), от общего количества выявленных нарушений;</w:t>
      </w:r>
    </w:p>
    <w:p w:rsidR="00040F2E" w:rsidRPr="00326A09" w:rsidRDefault="00040F2E"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увеличение доли объема финансовых средств, нарушения по которым выявлены субъектом внутреннего финансового аудита на начальных стадиях процесса, от общего объема проверенных финансовых средств.</w:t>
      </w:r>
    </w:p>
    <w:p w:rsidR="00CF0E7C" w:rsidRPr="00326A09" w:rsidRDefault="00CF0E7C" w:rsidP="00A762C6">
      <w:pPr>
        <w:pStyle w:val="a8"/>
        <w:tabs>
          <w:tab w:val="left" w:pos="0"/>
          <w:tab w:val="left" w:pos="1134"/>
        </w:tabs>
        <w:spacing w:after="0" w:line="240" w:lineRule="auto"/>
        <w:ind w:left="0" w:firstLine="426"/>
        <w:jc w:val="both"/>
        <w:outlineLvl w:val="0"/>
        <w:rPr>
          <w:rFonts w:ascii="Times New Roman" w:eastAsiaTheme="majorEastAsia" w:hAnsi="Times New Roman" w:cs="Times New Roman"/>
          <w:bCs/>
          <w:sz w:val="28"/>
          <w:szCs w:val="28"/>
        </w:rPr>
      </w:pPr>
    </w:p>
    <w:p w:rsidR="00CF0E7C" w:rsidRPr="00326A09" w:rsidRDefault="00CF0E7C" w:rsidP="00A762C6">
      <w:pPr>
        <w:pStyle w:val="a8"/>
        <w:numPr>
          <w:ilvl w:val="0"/>
          <w:numId w:val="1"/>
        </w:numPr>
        <w:tabs>
          <w:tab w:val="left" w:pos="0"/>
          <w:tab w:val="left" w:pos="1134"/>
        </w:tabs>
        <w:spacing w:after="0" w:line="240" w:lineRule="auto"/>
        <w:jc w:val="center"/>
        <w:outlineLvl w:val="0"/>
        <w:rPr>
          <w:rFonts w:ascii="Times New Roman" w:hAnsi="Times New Roman" w:cs="Times New Roman"/>
          <w:b/>
          <w:sz w:val="28"/>
          <w:szCs w:val="28"/>
        </w:rPr>
      </w:pPr>
      <w:bookmarkStart w:id="6" w:name="_Toc342244"/>
      <w:r w:rsidRPr="00326A09">
        <w:rPr>
          <w:rFonts w:ascii="Times New Roman" w:hAnsi="Times New Roman" w:cs="Times New Roman"/>
          <w:b/>
          <w:sz w:val="28"/>
          <w:szCs w:val="28"/>
        </w:rPr>
        <w:t>Заключительные положения</w:t>
      </w:r>
      <w:bookmarkEnd w:id="6"/>
    </w:p>
    <w:p w:rsidR="00BC237D" w:rsidRPr="00326A09" w:rsidRDefault="00CF0E7C"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lastRenderedPageBreak/>
        <w:t xml:space="preserve">6.1. Внутренний финансовый аудит, осуществляемый в главном администраторе бюджетных средств, администраторе бюджетных средств, оценивается как эффективный, если эффективность подтверждена результатами оценки внутреннего финансового аудита на двух этапах при достижении критериев, свидетельствующих об эффективности функционирования системы внутреннего финансового аудита, изложенных выше. </w:t>
      </w:r>
    </w:p>
    <w:p w:rsidR="00BC237D" w:rsidRPr="00326A09" w:rsidRDefault="00CF0E7C"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Если на основании проверки и анализа внутреннего финансового аудита внутренний финансовый аудит оценен как не эффективный, то</w:t>
      </w:r>
      <w:r w:rsidR="00BC237D" w:rsidRPr="00326A09">
        <w:rPr>
          <w:rFonts w:ascii="Times New Roman" w:hAnsi="Times New Roman" w:cs="Times New Roman"/>
        </w:rPr>
        <w:t xml:space="preserve"> </w:t>
      </w:r>
      <w:r w:rsidR="00BC237D" w:rsidRPr="00326A09">
        <w:rPr>
          <w:rFonts w:ascii="Times New Roman" w:hAnsi="Times New Roman" w:cs="Times New Roman"/>
          <w:sz w:val="28"/>
          <w:szCs w:val="28"/>
        </w:rPr>
        <w:t xml:space="preserve">при планировании контрольных и экспертно-аналитических мероприятий следует проводить мероприятия в данном главном администраторе бюджетных средств, администраторе бюджетных средств самостоятельно, а не полагаться на результаты внутреннего финансового аудита. </w:t>
      </w:r>
    </w:p>
    <w:p w:rsidR="00BC237D" w:rsidRPr="00326A09" w:rsidRDefault="00BC237D"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 xml:space="preserve">В случае если внутренний финансовый аудит оценивается как эффективный и подтверждает надежность внутреннего финансового контроля, а количество нарушений, выявленных субъектом внутреннего финансового аудита, незначительно, то при планировании контрольных и экспертно-аналитических мероприятий целесообразно ограничивать количество мероприятий в данном главном администраторе бюджетных средств, администраторе бюджетных средств, перераспределив ресурсы на другие мероприятия. </w:t>
      </w:r>
    </w:p>
    <w:p w:rsidR="00F71188" w:rsidRPr="00326A09" w:rsidRDefault="00BC237D"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В случае если внутренний финансовый аудит оценивается как эффективный, и субъектом внутреннего финансового аудита выявлено значительное количество нарушений, то при планировании контрольных и экспертно-аналитических мероприятий целесообразно выбирать иные направления проведения мероприятий в данном главном администраторе</w:t>
      </w:r>
      <w:r w:rsidR="00F71188" w:rsidRPr="00326A09">
        <w:rPr>
          <w:rFonts w:ascii="Times New Roman" w:hAnsi="Times New Roman" w:cs="Times New Roman"/>
        </w:rPr>
        <w:t xml:space="preserve"> </w:t>
      </w:r>
      <w:r w:rsidR="00F71188" w:rsidRPr="00326A09">
        <w:rPr>
          <w:rFonts w:ascii="Times New Roman" w:hAnsi="Times New Roman" w:cs="Times New Roman"/>
          <w:sz w:val="28"/>
          <w:szCs w:val="28"/>
        </w:rPr>
        <w:t>бюджетных средств, администраторе бюджетных средств (в дополнение к аудиторским проверкам, проведенным субъектом внутреннего финансового аудита).</w:t>
      </w:r>
    </w:p>
    <w:p w:rsidR="00F71188" w:rsidRPr="00326A09" w:rsidRDefault="00F71188"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6.2. Результаты проверки и анализа эффективности внутреннего финансового аудита включаются в акты, составленные по результатам проведения контрольных мероприятий на объекте. Содержащаяся в актах информация, а также предложения (рекомендации), предназначенные для улучшения ситуации в проверяемой сфере, используются при подготовке:</w:t>
      </w:r>
    </w:p>
    <w:p w:rsidR="00F71188" w:rsidRPr="00326A09" w:rsidRDefault="00F71188"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 xml:space="preserve">соответствующих заключений Контрольно-счетной палаты по главным администраторам бюджетных средств, администраторам бюджетных средств и заключений Контрольно-счетной палаты на отчет об исполнении бюджета </w:t>
      </w:r>
      <w:r w:rsidR="00C61824" w:rsidRPr="00326A09">
        <w:rPr>
          <w:rFonts w:ascii="Times New Roman" w:hAnsi="Times New Roman" w:cs="Times New Roman"/>
          <w:sz w:val="28"/>
          <w:szCs w:val="28"/>
        </w:rPr>
        <w:t>Матвеево-Курганского района</w:t>
      </w:r>
      <w:r w:rsidRPr="00326A09">
        <w:rPr>
          <w:rFonts w:ascii="Times New Roman" w:hAnsi="Times New Roman" w:cs="Times New Roman"/>
          <w:sz w:val="28"/>
          <w:szCs w:val="28"/>
        </w:rPr>
        <w:t xml:space="preserve"> за отчетный финансовый год; </w:t>
      </w:r>
    </w:p>
    <w:p w:rsidR="00D13683" w:rsidRPr="00326A09" w:rsidRDefault="00F71188"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326A09">
        <w:rPr>
          <w:rFonts w:ascii="Times New Roman" w:hAnsi="Times New Roman" w:cs="Times New Roman"/>
          <w:sz w:val="28"/>
          <w:szCs w:val="28"/>
        </w:rPr>
        <w:t xml:space="preserve">отчетов по результатам контрольных мероприятий, в соответствии с требованиями стандарта внешнего муниципального финансового контроля «Общие правила проведения контрольного мероприятия»; заключений (отчетов) по результатам экспертно-аналитических мероприятий, в соответствии с требованиями стандарта внешнего муниципального </w:t>
      </w:r>
      <w:r w:rsidRPr="00326A09">
        <w:rPr>
          <w:rFonts w:ascii="Times New Roman" w:hAnsi="Times New Roman" w:cs="Times New Roman"/>
          <w:sz w:val="28"/>
          <w:szCs w:val="28"/>
        </w:rPr>
        <w:lastRenderedPageBreak/>
        <w:t>финансового контроля «Проведение экспертно-аналитического мероприятия».</w:t>
      </w:r>
    </w:p>
    <w:p w:rsidR="00D13683" w:rsidRPr="00326A09" w:rsidRDefault="00D13683" w:rsidP="00A762C6">
      <w:pPr>
        <w:spacing w:line="240" w:lineRule="auto"/>
        <w:contextualSpacing/>
        <w:rPr>
          <w:rFonts w:ascii="Times New Roman" w:hAnsi="Times New Roman" w:cs="Times New Roman"/>
          <w:sz w:val="28"/>
          <w:szCs w:val="28"/>
        </w:rPr>
      </w:pPr>
      <w:r w:rsidRPr="00326A09">
        <w:rPr>
          <w:rFonts w:ascii="Times New Roman" w:hAnsi="Times New Roman" w:cs="Times New Roman"/>
          <w:sz w:val="28"/>
          <w:szCs w:val="28"/>
        </w:rPr>
        <w:br w:type="page"/>
      </w:r>
    </w:p>
    <w:p w:rsidR="00D13683" w:rsidRPr="00326A09" w:rsidRDefault="002B7A57" w:rsidP="00A762C6">
      <w:pPr>
        <w:pStyle w:val="a8"/>
        <w:tabs>
          <w:tab w:val="left" w:pos="0"/>
          <w:tab w:val="left" w:pos="1134"/>
        </w:tabs>
        <w:spacing w:after="0" w:line="240" w:lineRule="auto"/>
        <w:ind w:left="0"/>
        <w:jc w:val="center"/>
        <w:outlineLvl w:val="0"/>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lastRenderedPageBreak/>
        <w:t xml:space="preserve">                                                                                             </w:t>
      </w:r>
      <w:bookmarkStart w:id="7" w:name="_Toc342245"/>
      <w:r w:rsidR="00D13683" w:rsidRPr="00326A09">
        <w:rPr>
          <w:rFonts w:ascii="Times New Roman" w:eastAsiaTheme="majorEastAsia" w:hAnsi="Times New Roman" w:cs="Times New Roman"/>
          <w:bCs/>
          <w:sz w:val="28"/>
          <w:szCs w:val="28"/>
        </w:rPr>
        <w:t>Приложение № 1</w:t>
      </w:r>
      <w:r w:rsidRPr="00326A09">
        <w:rPr>
          <w:rFonts w:ascii="Times New Roman" w:eastAsiaTheme="majorEastAsia" w:hAnsi="Times New Roman" w:cs="Times New Roman"/>
          <w:bCs/>
          <w:sz w:val="28"/>
          <w:szCs w:val="28"/>
        </w:rPr>
        <w:t xml:space="preserve"> </w:t>
      </w:r>
      <w:r w:rsidRPr="00326A09">
        <w:rPr>
          <w:rFonts w:ascii="Times New Roman" w:eastAsiaTheme="majorEastAsia" w:hAnsi="Times New Roman" w:cs="Times New Roman"/>
          <w:bCs/>
          <w:sz w:val="28"/>
          <w:szCs w:val="28"/>
        </w:rPr>
        <w:br w:type="textWrapping" w:clear="all"/>
      </w:r>
      <w:r w:rsidRPr="00326A09">
        <w:rPr>
          <w:rFonts w:ascii="Times New Roman" w:eastAsiaTheme="majorEastAsia" w:hAnsi="Times New Roman" w:cs="Times New Roman"/>
          <w:bCs/>
          <w:sz w:val="28"/>
          <w:szCs w:val="28"/>
        </w:rPr>
        <w:br w:type="textWrapping" w:clear="all"/>
      </w:r>
      <w:r w:rsidR="004B2C33" w:rsidRPr="00326A09">
        <w:rPr>
          <w:rFonts w:ascii="Times New Roman" w:eastAsiaTheme="majorEastAsia" w:hAnsi="Times New Roman" w:cs="Times New Roman"/>
          <w:bCs/>
          <w:sz w:val="28"/>
          <w:szCs w:val="28"/>
        </w:rPr>
        <w:t xml:space="preserve"> Пе</w:t>
      </w:r>
      <w:r w:rsidR="00D13683" w:rsidRPr="00326A09">
        <w:rPr>
          <w:rFonts w:ascii="Times New Roman" w:eastAsiaTheme="majorEastAsia" w:hAnsi="Times New Roman" w:cs="Times New Roman"/>
          <w:bCs/>
          <w:sz w:val="28"/>
          <w:szCs w:val="28"/>
        </w:rPr>
        <w:t>речень вопросов оценки внутреннего финансового аудита, осуществляемого главным администратором бюджетных средств, администратором бюджетных средств</w:t>
      </w:r>
      <w:bookmarkEnd w:id="7"/>
    </w:p>
    <w:p w:rsidR="00D13683" w:rsidRPr="00326A09" w:rsidRDefault="00D13683" w:rsidP="00A762C6">
      <w:pPr>
        <w:pStyle w:val="a8"/>
        <w:tabs>
          <w:tab w:val="left" w:pos="0"/>
          <w:tab w:val="left" w:pos="1134"/>
        </w:tabs>
        <w:spacing w:after="0" w:line="240" w:lineRule="auto"/>
        <w:ind w:left="0" w:firstLine="426"/>
        <w:jc w:val="both"/>
        <w:outlineLvl w:val="0"/>
        <w:rPr>
          <w:rFonts w:ascii="Times New Roman" w:eastAsiaTheme="majorEastAsia" w:hAnsi="Times New Roman" w:cs="Times New Roman"/>
          <w:bCs/>
          <w:sz w:val="28"/>
          <w:szCs w:val="28"/>
        </w:rPr>
      </w:pPr>
    </w:p>
    <w:p w:rsidR="00D13683" w:rsidRPr="00326A09" w:rsidRDefault="00D13683" w:rsidP="00A762C6">
      <w:pPr>
        <w:pStyle w:val="a8"/>
        <w:tabs>
          <w:tab w:val="left" w:pos="0"/>
          <w:tab w:val="left" w:pos="1134"/>
        </w:tabs>
        <w:spacing w:after="0" w:line="240" w:lineRule="auto"/>
        <w:ind w:left="1146"/>
        <w:jc w:val="center"/>
        <w:rPr>
          <w:rFonts w:ascii="Times New Roman" w:eastAsiaTheme="majorEastAsia" w:hAnsi="Times New Roman" w:cs="Times New Roman"/>
          <w:bCs/>
          <w:sz w:val="28"/>
          <w:szCs w:val="28"/>
        </w:rPr>
      </w:pPr>
      <w:r w:rsidRPr="00326A09">
        <w:rPr>
          <w:rFonts w:ascii="Times New Roman" w:eastAsiaTheme="majorEastAsia" w:hAnsi="Times New Roman" w:cs="Times New Roman"/>
          <w:bCs/>
          <w:sz w:val="28"/>
          <w:szCs w:val="28"/>
        </w:rPr>
        <w:t>Отметьте галочкой () соответствующий ответ:</w:t>
      </w:r>
    </w:p>
    <w:p w:rsidR="00D13683" w:rsidRPr="00A762C6" w:rsidRDefault="00D13683" w:rsidP="00A762C6">
      <w:pPr>
        <w:pStyle w:val="a8"/>
        <w:tabs>
          <w:tab w:val="left" w:pos="0"/>
          <w:tab w:val="left" w:pos="1134"/>
        </w:tabs>
        <w:spacing w:after="0" w:line="240" w:lineRule="auto"/>
        <w:ind w:left="0" w:firstLine="426"/>
        <w:jc w:val="center"/>
        <w:rPr>
          <w:rFonts w:ascii="Times New Roman" w:eastAsiaTheme="majorEastAsia" w:hAnsi="Times New Roman" w:cs="Times New Roman"/>
          <w:bCs/>
          <w:color w:val="FF0000"/>
          <w:sz w:val="28"/>
          <w:szCs w:val="28"/>
        </w:rPr>
      </w:pP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1. Управление и структура внутреннего финансового аудита.</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sz w:val="28"/>
          <w:szCs w:val="28"/>
        </w:rPr>
        <w:t xml:space="preserve"> </w:t>
      </w:r>
      <w:r w:rsidRPr="00C64C1C">
        <w:rPr>
          <w:rFonts w:ascii="Times New Roman" w:eastAsiaTheme="majorEastAsia" w:hAnsi="Times New Roman" w:cs="Times New Roman"/>
          <w:bCs/>
          <w:i/>
          <w:sz w:val="28"/>
          <w:szCs w:val="28"/>
        </w:rPr>
        <w:t xml:space="preserve">1.1. Характеристика нормативного акта главного администратора бюджетных средств, администратора бюджетных средств об организации внутреннего финансового аудита. </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____1 Отсутствие нормативного акта об организации внутреннего финансового аудита;</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____4 Наличие нормативного акта об организации внутреннего финансового аудита, изданного руководителем главного администратора бюджетных средств, администратора бюджетных средств, но не определяющего единого подхода к разработке ведомственного порядка осуществления внутреннего финансового аудита; </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____7 Наличие нормативного акта об организации внутреннего финансового аудита, изданного руководителем главного администратора бюджетных средств, администратора бюджетных средств, определяющего единый подход к разработке ведомственного порядка осуществления внутреннего финансового аудита. </w:t>
      </w:r>
    </w:p>
    <w:p w:rsidR="00C64C1C" w:rsidRPr="00C64C1C" w:rsidRDefault="00D13683" w:rsidP="00326A09">
      <w:pPr>
        <w:pStyle w:val="a8"/>
        <w:tabs>
          <w:tab w:val="left" w:pos="426"/>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1.2. Закрепление полномочий субъекта внутреннего финансового аудита.</w:t>
      </w:r>
    </w:p>
    <w:p w:rsidR="00433653" w:rsidRPr="00C64C1C" w:rsidRDefault="00D13683" w:rsidP="00326A09">
      <w:pPr>
        <w:pStyle w:val="a8"/>
        <w:tabs>
          <w:tab w:val="left" w:pos="426"/>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____1 Полномочия по осуществлению внутреннего финансового аудита не закреплены; </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____3 Полномочия по осуществлению внутреннего финансового аудита закреплены в отдельных должностных регламентах (инструкциях) наряду с основными функциями (обязанностями);</w:t>
      </w:r>
    </w:p>
    <w:p w:rsidR="00433653" w:rsidRPr="00C64C1C" w:rsidRDefault="00D1368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____5 </w:t>
      </w:r>
      <w:r w:rsidR="00433653" w:rsidRPr="00C64C1C">
        <w:rPr>
          <w:rFonts w:ascii="Times New Roman" w:eastAsiaTheme="majorEastAsia" w:hAnsi="Times New Roman" w:cs="Times New Roman"/>
          <w:bCs/>
          <w:sz w:val="28"/>
          <w:szCs w:val="28"/>
        </w:rPr>
        <w:t>Полномочия по осуществлению внутреннего финансового аудита закреплены в положениях о структурных подразделениях главного администратора бюджетных средств, администратора бюджетных средств наряду с основными функциями (задачами);</w:t>
      </w:r>
    </w:p>
    <w:p w:rsidR="00CF0E7C" w:rsidRPr="00C64C1C" w:rsidRDefault="00433653"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____7 Полномочия субъекта внутреннего финансового аудита как самостоятельного подразделения, находящегося в составе главного администратора бюджетных средств, администратора бюджетных средств, закреплены положением о субъекте внутреннего финансового аудита.</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1.3. Контроль качества внутреннего финансового аудита.</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____1 Не осуществляется;</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____4 Осуществляется не систематически, не предусмотрен в нормативных актах главного администратора бюджетных средств, администратора бюджетных средств;</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lastRenderedPageBreak/>
        <w:t xml:space="preserve"> ____7 Осуществляется систематически, в соответствии с нормативными актами главного администратора бюджетных средств, администратора бюджетных средств. </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1.4. Укомплектованность и профессиональная квалификация сотрудников субъекта внутреннего финансового аудита.</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____1 Укомплектованность недостаточная для реализации задач внутреннего финансового аудита; </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____4 Укомплектованность достаточная для реализации задач внутреннего финансового аудита, но большинство сотрудников субъекта внутреннего финансового аудита не имеют дипломов высшего профессионального образования по экономическим, юридическим направлениям подготовки (специальностям);</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____7 Укомплектованность достаточная и большинство сотрудников субъекта внутреннего финансового аудита имеют дипломы высшего профессионального образования по экономическим, юридическим направлениям подготовки (специальностям).</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Информация о численности и кадровом составе субъекта внутреннего финансового аудита приводится в Таблице к Приложению 1.</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2. Планирование внутреннего финансового аудита</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sz w:val="28"/>
          <w:szCs w:val="28"/>
        </w:rPr>
        <w:t xml:space="preserve"> </w:t>
      </w:r>
      <w:r w:rsidRPr="00C64C1C">
        <w:rPr>
          <w:rFonts w:ascii="Times New Roman" w:eastAsiaTheme="majorEastAsia" w:hAnsi="Times New Roman" w:cs="Times New Roman"/>
          <w:bCs/>
          <w:i/>
          <w:sz w:val="28"/>
          <w:szCs w:val="28"/>
        </w:rPr>
        <w:t>2.1. Годовое планирование внутреннего финансового аудита и программы аудиторских проверок.</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___1 Годовой план осуществления внутреннего финансового аудита и программы аудиторских проверок отсутствуют;</w:t>
      </w: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___7 Годовой план осуществления внутреннего финансового аудита и программы аудиторских проверок имеются. </w:t>
      </w:r>
    </w:p>
    <w:p w:rsidR="006C4654" w:rsidRPr="00C64C1C" w:rsidRDefault="006C465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44577" w:rsidRPr="00C64C1C" w:rsidRDefault="00F44577"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2.2. Степень учета субъектом внутреннего финансового аудита факторов, влияющих на качество составления годового плана внутреннего финансового аудита и программ аудиторских проверок (значимость операций, объем выборки, степень обеспеченности субъекта внутреннего финансового аудита ресурсами и др.)</w:t>
      </w:r>
    </w:p>
    <w:p w:rsidR="006C4654" w:rsidRPr="00C64C1C" w:rsidRDefault="006C4654"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C64C1C">
        <w:rPr>
          <w:rFonts w:ascii="Times New Roman" w:hAnsi="Times New Roman" w:cs="Times New Roman"/>
          <w:sz w:val="28"/>
          <w:szCs w:val="28"/>
        </w:rPr>
        <w:t>__1 Указанные факторы не учитываются;</w:t>
      </w:r>
    </w:p>
    <w:p w:rsidR="006C4654" w:rsidRPr="00C64C1C" w:rsidRDefault="006C4654"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C64C1C">
        <w:rPr>
          <w:rFonts w:ascii="Times New Roman" w:hAnsi="Times New Roman" w:cs="Times New Roman"/>
          <w:sz w:val="28"/>
          <w:szCs w:val="28"/>
        </w:rPr>
        <w:t xml:space="preserve"> ___4 Указанные факторы учитываются частично;</w:t>
      </w:r>
    </w:p>
    <w:p w:rsidR="006C4654" w:rsidRPr="00C64C1C" w:rsidRDefault="006C4654"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r w:rsidRPr="00C64C1C">
        <w:rPr>
          <w:rFonts w:ascii="Times New Roman" w:hAnsi="Times New Roman" w:cs="Times New Roman"/>
          <w:sz w:val="28"/>
          <w:szCs w:val="28"/>
        </w:rPr>
        <w:t xml:space="preserve"> ___7 Указанные факторы учитываются полностью.</w:t>
      </w:r>
    </w:p>
    <w:p w:rsidR="006C4654" w:rsidRPr="00C64C1C" w:rsidRDefault="006C4654" w:rsidP="00A762C6">
      <w:pPr>
        <w:pStyle w:val="a8"/>
        <w:tabs>
          <w:tab w:val="left" w:pos="0"/>
          <w:tab w:val="left" w:pos="1134"/>
        </w:tabs>
        <w:spacing w:after="0" w:line="240" w:lineRule="auto"/>
        <w:ind w:left="0" w:firstLine="426"/>
        <w:jc w:val="both"/>
        <w:rPr>
          <w:rFonts w:ascii="Times New Roman" w:hAnsi="Times New Roman" w:cs="Times New Roman"/>
          <w:sz w:val="28"/>
          <w:szCs w:val="28"/>
        </w:rPr>
      </w:pPr>
    </w:p>
    <w:p w:rsidR="006C4654" w:rsidRPr="00C64C1C" w:rsidRDefault="006C465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 xml:space="preserve">2.3. Осуществление планирования мероприятий внутреннего финансового аудита с учетом факторов риска. </w:t>
      </w:r>
    </w:p>
    <w:p w:rsidR="006C4654" w:rsidRPr="00C64C1C" w:rsidRDefault="006C465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___1 Планирование мероприятий внутреннего финансового аудита осуществляется без учета факторов риска;</w:t>
      </w:r>
    </w:p>
    <w:p w:rsidR="006C4654" w:rsidRPr="00C64C1C" w:rsidRDefault="006C465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lastRenderedPageBreak/>
        <w:t xml:space="preserve"> ___4 Планирование мероприятий внутреннего финансового аудита осуществляется на основе разовой оценки рисков на стадии подготовки планов внутреннего финансового аудита;</w:t>
      </w:r>
    </w:p>
    <w:p w:rsidR="006C4654" w:rsidRPr="00C64C1C" w:rsidRDefault="006C465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___7 Планирование мероприятий внутреннего финансового аудита осуществляется с учетом концепции управления рисками, принятой в главном администраторе бюджетных средств, администраторе бюджетных средств.</w:t>
      </w:r>
    </w:p>
    <w:p w:rsidR="00F731B5" w:rsidRPr="00C64C1C" w:rsidRDefault="00F731B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731B5" w:rsidRPr="00C64C1C" w:rsidRDefault="00F731B5" w:rsidP="00A762C6">
      <w:pPr>
        <w:pStyle w:val="a8"/>
        <w:tabs>
          <w:tab w:val="left" w:pos="426"/>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i/>
          <w:sz w:val="28"/>
          <w:szCs w:val="28"/>
        </w:rPr>
        <w:t>2.4. Проведение субъектом внутреннего финансового аудита предварительного анализа данных об объектах аудита при составлении программы аудиторской проверки (в том числе сведений о результатах осуществления внутреннего финансового контроля за период, подлежащий аудиторской проверке, сведений о результатах проведения в текущем и (или) отчетном финансовом году контрольных мероприятий уполномоченными органами государственного (муниципального) контроля).</w:t>
      </w:r>
      <w:r w:rsidRPr="00C64C1C">
        <w:rPr>
          <w:rFonts w:ascii="Times New Roman" w:eastAsiaTheme="majorEastAsia" w:hAnsi="Times New Roman" w:cs="Times New Roman"/>
          <w:bCs/>
          <w:sz w:val="28"/>
          <w:szCs w:val="28"/>
        </w:rPr>
        <w:t xml:space="preserve"> </w:t>
      </w:r>
    </w:p>
    <w:p w:rsidR="00F731B5" w:rsidRPr="00C64C1C" w:rsidRDefault="00F731B5" w:rsidP="00A762C6">
      <w:pPr>
        <w:pStyle w:val="a8"/>
        <w:tabs>
          <w:tab w:val="left" w:pos="426"/>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___1 Не проводится;</w:t>
      </w:r>
    </w:p>
    <w:p w:rsidR="00F731B5" w:rsidRPr="00C64C1C" w:rsidRDefault="00F731B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___4 Проводится частично;</w:t>
      </w:r>
    </w:p>
    <w:p w:rsidR="00F731B5" w:rsidRPr="00C64C1C" w:rsidRDefault="00F731B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A762C6">
        <w:rPr>
          <w:rFonts w:ascii="Times New Roman" w:eastAsiaTheme="majorEastAsia" w:hAnsi="Times New Roman" w:cs="Times New Roman"/>
          <w:bCs/>
          <w:color w:val="FF0000"/>
          <w:sz w:val="28"/>
          <w:szCs w:val="28"/>
        </w:rPr>
        <w:t xml:space="preserve"> </w:t>
      </w:r>
      <w:r w:rsidRPr="00C64C1C">
        <w:rPr>
          <w:rFonts w:ascii="Times New Roman" w:eastAsiaTheme="majorEastAsia" w:hAnsi="Times New Roman" w:cs="Times New Roman"/>
          <w:bCs/>
          <w:sz w:val="28"/>
          <w:szCs w:val="28"/>
        </w:rPr>
        <w:t>___7 Проводится в полной мере.</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FB79D9" w:rsidRPr="00C64C1C" w:rsidRDefault="00FB79D9" w:rsidP="00A762C6">
      <w:pPr>
        <w:pStyle w:val="a8"/>
        <w:tabs>
          <w:tab w:val="left" w:pos="0"/>
          <w:tab w:val="left" w:pos="1134"/>
        </w:tabs>
        <w:spacing w:after="0" w:line="240" w:lineRule="auto"/>
        <w:ind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3. Организация системы осуществления внутреннего финансового</w:t>
      </w:r>
    </w:p>
    <w:p w:rsidR="00FB79D9" w:rsidRPr="00C64C1C" w:rsidRDefault="00FB79D9" w:rsidP="00A762C6">
      <w:pPr>
        <w:pStyle w:val="a8"/>
        <w:tabs>
          <w:tab w:val="left" w:pos="0"/>
          <w:tab w:val="left" w:pos="1134"/>
        </w:tabs>
        <w:spacing w:after="0" w:line="240" w:lineRule="auto"/>
        <w:ind w:left="0"/>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аудита.</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i/>
          <w:sz w:val="28"/>
          <w:szCs w:val="28"/>
        </w:rPr>
        <w:t>3.1. Сфера деятельности субъекта внутреннего финансового аудита.</w:t>
      </w:r>
      <w:r w:rsidRPr="00C64C1C">
        <w:rPr>
          <w:rFonts w:ascii="Times New Roman" w:eastAsiaTheme="majorEastAsia" w:hAnsi="Times New Roman" w:cs="Times New Roman"/>
          <w:bCs/>
          <w:sz w:val="28"/>
          <w:szCs w:val="28"/>
        </w:rPr>
        <w:t xml:space="preserve"> </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____1 Устанавливается одноразово, для данного специального случая; </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____4 Финансовая деятельность главного администратора бюджетных средств, администратора бюджетных средств;</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____7 Вся деятельность главного администратора бюджетных средств, администратора бюджетных средств. </w:t>
      </w:r>
    </w:p>
    <w:p w:rsidR="00FB79D9" w:rsidRPr="00C64C1C" w:rsidRDefault="00FB79D9"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3.2. Степень охвата аудита подведомственных распорядителей (получателей) бюджетных средств (заполняется в случае наличия подведомственных распорядителей (получателей) бюджетных средств), по данным отчетного года.</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1 Аудиторскими проверками внутреннего финансового аудита охвачено от 0 (включительно) до 14,3%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____2 Аудиторскими проверками внутреннего финансового аудита охвачено от 14,3% (включительно) до 28,6%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____3 Аудиторскими проверками внутреннего финансового аудита охвачено от 28,6% (включительно) до 42,9%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____4 Аудиторскими проверками внутреннего финансового аудита охвачено от 42,9% (включительно) до 57,2%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lastRenderedPageBreak/>
        <w:t xml:space="preserve"> ____5 Аудиторскими проверками внутреннего финансового аудита охвачено от 57,2% (включительно) до 71,5%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____6 Аудиторскими проверками внутреннего финансового аудита охвачено от 71,5% (включительно) до 85,8%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____7 Аудиторскими проверками внутреннего финансового аудита охвачено от 85,8% (включительно) до 100% (включительно) подведомственных распорядителей (получателей) бюджетных средств.</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i/>
          <w:sz w:val="28"/>
          <w:szCs w:val="28"/>
        </w:rPr>
        <w:t>3.3. Степень охвата аудита подведомственных администраторов доходов бюджета по осуществлению ими функций администрирования доходов (заполняется в случае наличия подведомственных администраторов доходов бюджета), по данным отчетного года</w:t>
      </w:r>
      <w:r w:rsidRPr="00C64C1C">
        <w:rPr>
          <w:rFonts w:ascii="Times New Roman" w:eastAsiaTheme="majorEastAsia" w:hAnsi="Times New Roman" w:cs="Times New Roman"/>
          <w:bCs/>
          <w:sz w:val="28"/>
          <w:szCs w:val="28"/>
        </w:rPr>
        <w:t>.</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____1 Аудиторскими проверками внутреннего финансового аудита охвачено от 0 (включительно) до 14,3% подведомственных администраторов доходов бюджета;</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____2 Аудиторскими проверками внутреннего финансового аудита охвачено от 14,3% (включительно) до 28,6% подведомственных администраторов доходов бюджета;</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____3 Аудиторскими проверками внутреннего финансового аудита охвачено от 28,6% (включительно) до 42,9% подведомственных администраторов доходов бюджета; </w:t>
      </w:r>
    </w:p>
    <w:p w:rsidR="00D43D84" w:rsidRPr="00C64C1C" w:rsidRDefault="00D43D84"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____4 Аудиторскими проверками внутреннего финансового аудита охвачено от 42,9% (включительно) до 57,2% подведомственных администраторов доходов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__5 Аудиторскими проверками внутреннего финансового аудита охвачено от 57,2% (включительно) до 71,5% подведомственных администраторов доходов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____6 Аудиторскими проверками внутреннего финансового аудита охвачено от 71,5 % (включительно) до 85,8 % подведомственных администраторов доходов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____7 Аудиторскими проверками внутреннего финансового аудита охвачено от 85,8% (включительно) до 100% подведомственных администраторов доходов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C64C1C">
        <w:rPr>
          <w:rFonts w:ascii="Times New Roman" w:eastAsiaTheme="majorEastAsia" w:hAnsi="Times New Roman" w:cs="Times New Roman"/>
          <w:bCs/>
          <w:i/>
          <w:sz w:val="28"/>
          <w:szCs w:val="28"/>
        </w:rPr>
        <w:t>3.4. Степень охвата аудита подведомственных администраторов источников финансирования дефицита бюджета (заполняется в случае наличия подведомственных администраторов источников финансирования дефицита бюджета), по данным отчетного года.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____1 Аудиторскими проверками внутреннего финансового аудита охвачено от 0 (включительно) до 14,3%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lastRenderedPageBreak/>
        <w:t xml:space="preserve"> ____2 Аудиторскими проверками внутреннего финансового аудита охвачено от 14,3% (включительно) до 28,6% подведомственных администраторов источников финансирования дефицита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____3 Аудиторскими проверками внутреннего финансового аудита охвачено от 28,6% (включительно) до 42,9% подведомственных администраторов источников финансирования дефицита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____4 Аудиторскими проверками внутреннего финансового аудита охвачено от 42,9% (включительно) до 57,2%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____5 Аудиторскими проверками внутреннего финансового аудита охвачено от 57,2% (включительно) до 71,5%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____6 Аудиторскими проверками внутреннего финансового аудита охвачено от 71,5% (включительно) до 85,8%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____7 Аудиторскими проверками внутреннего финансового аудита охвачено от 85,8% (включительно) до 100% (включительно)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i/>
          <w:sz w:val="28"/>
          <w:szCs w:val="28"/>
        </w:rPr>
        <w:t>3.4. Степень охвата аудита подведомственных администраторов источников финансирования дефицита бюджета (заполняется в случае наличия подведомственных администраторов источников финансирования дефицита бюджета), по данным отчетного года</w:t>
      </w:r>
      <w:r w:rsidRPr="00C64C1C">
        <w:rPr>
          <w:rFonts w:ascii="Times New Roman" w:eastAsiaTheme="majorEastAsia" w:hAnsi="Times New Roman" w:cs="Times New Roman"/>
          <w:bCs/>
          <w:sz w:val="28"/>
          <w:szCs w:val="28"/>
        </w:rPr>
        <w:t xml:space="preserve">.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____1 Аудиторскими проверками внутреннего финансового аудита охвачено от 0 (включительно) до 14,3%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____2 Аудиторскими проверками внутреннего финансового аудита охвачено от 14,3% (включительно) до 28,6% подведомственных администраторов источников финансирования дефицита бюджета; ____3 Аудиторскими проверками внутреннего финансового аудита охвачено от 28,6% (включительно) до 42,9% подведомственных администраторов источников финансирования дефицита бюджета;</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 ____4 Аудиторскими проверками внутреннего финансового аудита охвачено от 42,9% (включительно) до 57,2% подведомственных администраторов источников финансирования дефицита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____5 Аудиторскими проверками внутреннего финансового аудита охвачено от 57,2% (включительно) до 71,5% подведомственных администраторов источников финансирования дефицита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____6 Аудиторскими проверками внутреннего финансового аудита охвачено от 71,5% (включительно) до 85,8% подведомственных администраторов источников финансирования дефицита бюджета; </w:t>
      </w:r>
    </w:p>
    <w:p w:rsidR="003038F1" w:rsidRPr="00C64C1C"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C64C1C">
        <w:rPr>
          <w:rFonts w:ascii="Times New Roman" w:eastAsiaTheme="majorEastAsia" w:hAnsi="Times New Roman" w:cs="Times New Roman"/>
          <w:bCs/>
          <w:sz w:val="28"/>
          <w:szCs w:val="28"/>
        </w:rPr>
        <w:t xml:space="preserve">____7 Аудиторскими проверками внутреннего финансового аудита охвачено от 85,8% (включительно) до 100% (включительно) </w:t>
      </w:r>
      <w:r w:rsidRPr="00C64C1C">
        <w:rPr>
          <w:rFonts w:ascii="Times New Roman" w:eastAsiaTheme="majorEastAsia" w:hAnsi="Times New Roman" w:cs="Times New Roman"/>
          <w:bCs/>
          <w:sz w:val="28"/>
          <w:szCs w:val="28"/>
        </w:rPr>
        <w:lastRenderedPageBreak/>
        <w:t>подведомственных администраторов источников финансирования дефицита бюджета.</w:t>
      </w:r>
    </w:p>
    <w:p w:rsidR="00192F40" w:rsidRPr="00C64C1C" w:rsidRDefault="00192F40"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3D497B" w:rsidRPr="003D497B" w:rsidRDefault="003038F1" w:rsidP="003D497B">
      <w:pPr>
        <w:pStyle w:val="a8"/>
        <w:tabs>
          <w:tab w:val="left" w:pos="0"/>
          <w:tab w:val="left" w:pos="1134"/>
        </w:tabs>
        <w:spacing w:after="0" w:line="240" w:lineRule="auto"/>
        <w:ind w:left="0" w:firstLine="426"/>
        <w:jc w:val="both"/>
        <w:rPr>
          <w:rFonts w:ascii="Times New Roman" w:hAnsi="Times New Roman" w:cs="Times New Roman"/>
          <w:i/>
          <w:sz w:val="28"/>
          <w:szCs w:val="28"/>
        </w:rPr>
      </w:pPr>
      <w:r w:rsidRPr="00C64C1C">
        <w:rPr>
          <w:rFonts w:ascii="Times New Roman" w:eastAsiaTheme="majorEastAsia" w:hAnsi="Times New Roman" w:cs="Times New Roman"/>
          <w:bCs/>
          <w:i/>
          <w:sz w:val="28"/>
          <w:szCs w:val="28"/>
        </w:rPr>
        <w:t xml:space="preserve">3.5. Соответствие системы осуществления внутреннего финансового аудита субъектом внутреннего финансового аудита положениям </w:t>
      </w:r>
      <w:r w:rsidR="003D497B" w:rsidRPr="003D497B">
        <w:rPr>
          <w:rFonts w:ascii="Times New Roman" w:eastAsiaTheme="majorEastAsia" w:hAnsi="Times New Roman" w:cs="Times New Roman"/>
          <w:bCs/>
          <w:i/>
          <w:sz w:val="28"/>
          <w:szCs w:val="28"/>
        </w:rPr>
        <w:t xml:space="preserve">нормативного акта главного администратора бюджетных средств, администратора бюджетных средств об организации </w:t>
      </w:r>
      <w:r w:rsidR="003D497B" w:rsidRPr="003D497B">
        <w:rPr>
          <w:rFonts w:ascii="Times New Roman" w:hAnsi="Times New Roman" w:cs="Times New Roman"/>
          <w:bCs/>
          <w:i/>
          <w:sz w:val="28"/>
          <w:szCs w:val="28"/>
        </w:rPr>
        <w:t>внутреннего финансового контроля и внутреннего финансового аудита</w:t>
      </w:r>
    </w:p>
    <w:p w:rsidR="00192F40" w:rsidRPr="007426BA"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___1 Не соответствует;</w:t>
      </w:r>
    </w:p>
    <w:p w:rsidR="00192F40" w:rsidRPr="007426BA"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___4 Соответствует частично;</w:t>
      </w:r>
    </w:p>
    <w:p w:rsidR="003038F1" w:rsidRPr="007426BA" w:rsidRDefault="003038F1"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___7 Соответствует в полной мере.</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4. Организация системы отчетности о результатах деятельности субъекта внутреннего финансового аудита.</w:t>
      </w:r>
    </w:p>
    <w:p w:rsidR="003D497B" w:rsidRPr="003D497B" w:rsidRDefault="00482D46" w:rsidP="003D497B">
      <w:pPr>
        <w:pStyle w:val="a8"/>
        <w:tabs>
          <w:tab w:val="left" w:pos="0"/>
          <w:tab w:val="left" w:pos="1134"/>
        </w:tabs>
        <w:spacing w:after="0" w:line="240" w:lineRule="auto"/>
        <w:ind w:left="0" w:firstLine="426"/>
        <w:jc w:val="both"/>
        <w:rPr>
          <w:rFonts w:ascii="Times New Roman" w:hAnsi="Times New Roman" w:cs="Times New Roman"/>
          <w:i/>
          <w:sz w:val="28"/>
          <w:szCs w:val="28"/>
        </w:rPr>
      </w:pPr>
      <w:r w:rsidRPr="007426BA">
        <w:rPr>
          <w:rFonts w:ascii="Times New Roman" w:eastAsiaTheme="majorEastAsia" w:hAnsi="Times New Roman" w:cs="Times New Roman"/>
          <w:bCs/>
          <w:i/>
          <w:sz w:val="28"/>
          <w:szCs w:val="28"/>
        </w:rPr>
        <w:t xml:space="preserve">4.1. Соответствие оформления результатов внутреннего финансового аудита положениям </w:t>
      </w:r>
      <w:r w:rsidR="003D497B" w:rsidRPr="003D497B">
        <w:rPr>
          <w:rFonts w:ascii="Times New Roman" w:eastAsiaTheme="majorEastAsia" w:hAnsi="Times New Roman" w:cs="Times New Roman"/>
          <w:bCs/>
          <w:i/>
          <w:sz w:val="28"/>
          <w:szCs w:val="28"/>
        </w:rPr>
        <w:t xml:space="preserve">нормативного акта главного администратора бюджетных средств, администратора бюджетных средств об организации </w:t>
      </w:r>
      <w:r w:rsidR="003D497B" w:rsidRPr="003D497B">
        <w:rPr>
          <w:rFonts w:ascii="Times New Roman" w:hAnsi="Times New Roman" w:cs="Times New Roman"/>
          <w:bCs/>
          <w:i/>
          <w:sz w:val="28"/>
          <w:szCs w:val="28"/>
        </w:rPr>
        <w:t>внутреннего финансового контроля и внутреннего финансового аудита</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___1 Не соответствует;</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___4 Соответствует частично;</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___7 Соответствует в полной мере.</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i/>
          <w:sz w:val="28"/>
          <w:szCs w:val="28"/>
        </w:rPr>
        <w:t>4.2. Анализ руководством главного администратора бюджетных средств, администратора бюджетных средств результатов деятельности субъекта внутреннего аудита на основании отчетности.</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____1 Не анализируются;</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sz w:val="28"/>
          <w:szCs w:val="28"/>
        </w:rPr>
        <w:t xml:space="preserve"> ____7 Анализируются</w:t>
      </w:r>
      <w:r w:rsidRPr="007426BA">
        <w:rPr>
          <w:rFonts w:ascii="Times New Roman" w:eastAsiaTheme="majorEastAsia" w:hAnsi="Times New Roman" w:cs="Times New Roman"/>
          <w:bCs/>
          <w:i/>
          <w:sz w:val="28"/>
          <w:szCs w:val="28"/>
        </w:rPr>
        <w:t>.</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i/>
          <w:sz w:val="28"/>
          <w:szCs w:val="28"/>
        </w:rPr>
        <w:t>4.3. Степень реализации замечаний и рекомендаций субъекта внутреннего финансового аудита.</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____1 Замечания и рекомендации не реализуются;</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____4 Реализуются частично;</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____7 Реализуются полностью и существует отчетность о результатах принятых мер.</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i/>
          <w:sz w:val="28"/>
          <w:szCs w:val="28"/>
        </w:rPr>
        <w:t>4.4. Установлен ли главным администратором бюджетных средств, администратором бюджетных средств порядок составления и представления годовой отчетности о результатах деятельности субъекта внутреннего финансового аудита.</w:t>
      </w:r>
    </w:p>
    <w:p w:rsidR="006B77F5"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___1 Не установлен;</w:t>
      </w:r>
    </w:p>
    <w:p w:rsidR="00482D46"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___7 Установлен.</w:t>
      </w:r>
    </w:p>
    <w:p w:rsidR="00482D46" w:rsidRPr="007426BA" w:rsidRDefault="00482D46"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6B77F5"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i/>
          <w:sz w:val="28"/>
          <w:szCs w:val="28"/>
        </w:rPr>
        <w:t xml:space="preserve">4.5. Составление годовой отчетности о результатах деятельности субъекта внутреннего финансового аудита. </w:t>
      </w:r>
    </w:p>
    <w:p w:rsidR="006B77F5"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lastRenderedPageBreak/>
        <w:t>____1 Годовые отчеты отсутствуют;</w:t>
      </w:r>
    </w:p>
    <w:p w:rsidR="006B77F5"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___4 Содержат отдельные результаты деятельности субъекта внутреннего финансового аудита;</w:t>
      </w:r>
    </w:p>
    <w:p w:rsidR="006B77F5" w:rsidRPr="007426BA" w:rsidRDefault="006B77F5"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 ____7 Отчетность достаточно полная и содержит выводы о надежности (эффективности) внутреннего контроля, достоверности сводной бюджетной отчетности.</w:t>
      </w:r>
    </w:p>
    <w:p w:rsidR="000118CF" w:rsidRPr="007426BA"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6F551E">
        <w:rPr>
          <w:rFonts w:ascii="Times New Roman" w:eastAsiaTheme="majorEastAsia" w:hAnsi="Times New Roman" w:cs="Times New Roman"/>
          <w:bCs/>
          <w:sz w:val="28"/>
          <w:szCs w:val="28"/>
        </w:rPr>
        <w:t>5. Взаимодействие субъекта внутреннего финансового аудита с органами государственного финансового контроля.</w:t>
      </w: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6F551E">
        <w:rPr>
          <w:rFonts w:ascii="Times New Roman" w:eastAsiaTheme="majorEastAsia" w:hAnsi="Times New Roman" w:cs="Times New Roman"/>
          <w:bCs/>
          <w:i/>
          <w:sz w:val="28"/>
          <w:szCs w:val="28"/>
        </w:rPr>
        <w:t xml:space="preserve"> 5.1. Осуществляется ли взаимодействие субъекта внутреннего финансового аудита с органами государственного финансового контроля?</w:t>
      </w: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6F551E">
        <w:rPr>
          <w:rFonts w:ascii="Times New Roman" w:eastAsiaTheme="majorEastAsia" w:hAnsi="Times New Roman" w:cs="Times New Roman"/>
          <w:bCs/>
          <w:sz w:val="28"/>
          <w:szCs w:val="28"/>
        </w:rPr>
        <w:t>____1 Не осуществляется;</w:t>
      </w: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6F551E">
        <w:rPr>
          <w:rFonts w:ascii="Times New Roman" w:eastAsiaTheme="majorEastAsia" w:hAnsi="Times New Roman" w:cs="Times New Roman"/>
          <w:bCs/>
          <w:sz w:val="28"/>
          <w:szCs w:val="28"/>
        </w:rPr>
        <w:t xml:space="preserve"> ____4 Отчеты предоставляются субъектом внутреннего финансового аудита в период проверок органами государственного финансового контроля;</w:t>
      </w: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6F551E">
        <w:rPr>
          <w:rFonts w:ascii="Times New Roman" w:eastAsiaTheme="majorEastAsia" w:hAnsi="Times New Roman" w:cs="Times New Roman"/>
          <w:bCs/>
          <w:sz w:val="28"/>
          <w:szCs w:val="28"/>
        </w:rPr>
        <w:t xml:space="preserve">____7 Систематическое предоставление отчетов и планов контрольной деятельности субъектом внутреннего финансового аудита органам государственного финансового контроля. </w:t>
      </w:r>
    </w:p>
    <w:p w:rsidR="000118CF" w:rsidRPr="006F551E"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p>
    <w:p w:rsidR="00A352B5" w:rsidRPr="007426BA" w:rsidRDefault="000118CF"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i/>
          <w:sz w:val="28"/>
          <w:szCs w:val="28"/>
        </w:rPr>
        <w:t>5.2. Учитываются ли результаты контрольных мероприятий органов государственного финансового контроля при планировании и осуществлении деятельности субъекта внутреннего финансового аудита?</w:t>
      </w:r>
    </w:p>
    <w:p w:rsidR="006A3148" w:rsidRPr="007426BA" w:rsidRDefault="006A3148"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i/>
          <w:sz w:val="28"/>
          <w:szCs w:val="28"/>
        </w:rPr>
      </w:pPr>
      <w:r w:rsidRPr="007426BA">
        <w:rPr>
          <w:rFonts w:ascii="Times New Roman" w:eastAsiaTheme="majorEastAsia" w:hAnsi="Times New Roman" w:cs="Times New Roman"/>
          <w:bCs/>
          <w:sz w:val="28"/>
          <w:szCs w:val="28"/>
        </w:rPr>
        <w:t>____1 Не учитываются;</w:t>
      </w:r>
    </w:p>
    <w:p w:rsidR="00A352B5" w:rsidRPr="007426BA" w:rsidRDefault="006A3148"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 xml:space="preserve">____3 Учитываются при составлении планов проведения аудиторских проверок; </w:t>
      </w:r>
    </w:p>
    <w:p w:rsidR="00A352B5" w:rsidRPr="007426BA" w:rsidRDefault="006A3148"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sz w:val="28"/>
          <w:szCs w:val="28"/>
        </w:rPr>
      </w:pPr>
      <w:r w:rsidRPr="007426BA">
        <w:rPr>
          <w:rFonts w:ascii="Times New Roman" w:eastAsiaTheme="majorEastAsia" w:hAnsi="Times New Roman" w:cs="Times New Roman"/>
          <w:bCs/>
          <w:sz w:val="28"/>
          <w:szCs w:val="28"/>
        </w:rPr>
        <w:t>____5 Учитываются при составлении планов проведения аудиторских проверок; принимаются меры по устранению нарушений по результатам внешних контрольных мероприятий;</w:t>
      </w:r>
    </w:p>
    <w:p w:rsidR="00AE7128" w:rsidRDefault="006A3148" w:rsidP="00A762C6">
      <w:pPr>
        <w:pStyle w:val="a8"/>
        <w:tabs>
          <w:tab w:val="left" w:pos="0"/>
          <w:tab w:val="left" w:pos="1134"/>
        </w:tabs>
        <w:spacing w:after="0" w:line="240" w:lineRule="auto"/>
        <w:ind w:left="0" w:firstLine="426"/>
        <w:jc w:val="both"/>
        <w:rPr>
          <w:rFonts w:ascii="Times New Roman" w:eastAsiaTheme="majorEastAsia" w:hAnsi="Times New Roman" w:cs="Times New Roman"/>
          <w:bCs/>
          <w:color w:val="000000" w:themeColor="text1"/>
          <w:sz w:val="28"/>
          <w:szCs w:val="28"/>
        </w:rPr>
        <w:sectPr w:rsidR="00AE7128" w:rsidSect="000A60E5">
          <w:headerReference w:type="default" r:id="rId9"/>
          <w:footerReference w:type="default" r:id="rId10"/>
          <w:pgSz w:w="11906" w:h="16838"/>
          <w:pgMar w:top="1134" w:right="851" w:bottom="1134" w:left="1701" w:header="709" w:footer="709" w:gutter="0"/>
          <w:cols w:space="708"/>
          <w:titlePg/>
          <w:docGrid w:linePitch="360"/>
        </w:sectPr>
      </w:pPr>
      <w:r w:rsidRPr="007426BA">
        <w:rPr>
          <w:rFonts w:ascii="Times New Roman" w:eastAsiaTheme="majorEastAsia" w:hAnsi="Times New Roman" w:cs="Times New Roman"/>
          <w:bCs/>
          <w:sz w:val="28"/>
          <w:szCs w:val="28"/>
        </w:rPr>
        <w:t xml:space="preserve"> ____7 Учитываются при составлении планов проведения аудиторских проверок, принимаются меры по устранению нарушений по результатам внешних контрольных мероприятий; существует отчетность о результатах принятых мер.</w:t>
      </w:r>
      <w:r w:rsidR="00AE7128" w:rsidRPr="007426BA">
        <w:rPr>
          <w:rFonts w:ascii="Times New Roman" w:eastAsiaTheme="majorEastAsia" w:hAnsi="Times New Roman" w:cs="Times New Roman"/>
          <w:bCs/>
          <w:sz w:val="28"/>
          <w:szCs w:val="28"/>
        </w:rPr>
        <w:tab/>
      </w:r>
      <w:r w:rsidR="00AE7128" w:rsidRPr="007426BA">
        <w:rPr>
          <w:rFonts w:ascii="Times New Roman" w:eastAsiaTheme="majorEastAsia" w:hAnsi="Times New Roman" w:cs="Times New Roman"/>
          <w:bCs/>
          <w:sz w:val="28"/>
          <w:szCs w:val="28"/>
        </w:rPr>
        <w:tab/>
      </w:r>
      <w:r w:rsidR="00AE7128" w:rsidRPr="007426BA">
        <w:rPr>
          <w:rFonts w:ascii="Times New Roman" w:eastAsiaTheme="majorEastAsia" w:hAnsi="Times New Roman" w:cs="Times New Roman"/>
          <w:bCs/>
          <w:sz w:val="28"/>
          <w:szCs w:val="28"/>
        </w:rPr>
        <w:tab/>
      </w:r>
      <w:r w:rsidR="00AE7128" w:rsidRPr="007426BA">
        <w:rPr>
          <w:rFonts w:ascii="Times New Roman" w:eastAsiaTheme="majorEastAsia" w:hAnsi="Times New Roman" w:cs="Times New Roman"/>
          <w:bCs/>
          <w:sz w:val="28"/>
          <w:szCs w:val="28"/>
        </w:rPr>
        <w:tab/>
      </w:r>
      <w:r w:rsidR="00AE7128" w:rsidRPr="007426BA">
        <w:rPr>
          <w:rFonts w:ascii="Times New Roman" w:eastAsiaTheme="majorEastAsia" w:hAnsi="Times New Roman" w:cs="Times New Roman"/>
          <w:bCs/>
          <w:sz w:val="28"/>
          <w:szCs w:val="28"/>
        </w:rPr>
        <w:tab/>
      </w:r>
      <w:r w:rsidR="00AE7128" w:rsidRPr="007426BA">
        <w:rPr>
          <w:rFonts w:ascii="Times New Roman" w:eastAsiaTheme="majorEastAsia" w:hAnsi="Times New Roman" w:cs="Times New Roman"/>
          <w:bCs/>
          <w:sz w:val="28"/>
          <w:szCs w:val="28"/>
        </w:rPr>
        <w:tab/>
      </w:r>
    </w:p>
    <w:p w:rsidR="00AE7128" w:rsidRDefault="00C007E7" w:rsidP="00C007E7">
      <w:pPr>
        <w:pStyle w:val="a8"/>
        <w:tabs>
          <w:tab w:val="left" w:pos="0"/>
          <w:tab w:val="left" w:pos="1134"/>
        </w:tabs>
        <w:spacing w:after="0"/>
        <w:ind w:left="708"/>
        <w:jc w:val="center"/>
        <w:outlineLvl w:val="0"/>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lastRenderedPageBreak/>
        <w:t xml:space="preserve">                                                                                                                                                                    </w:t>
      </w:r>
      <w:bookmarkStart w:id="8" w:name="_Toc342246"/>
      <w:r w:rsidR="00AE7128">
        <w:rPr>
          <w:rFonts w:ascii="Times New Roman" w:eastAsiaTheme="majorEastAsia" w:hAnsi="Times New Roman" w:cs="Times New Roman"/>
          <w:bCs/>
          <w:color w:val="000000" w:themeColor="text1"/>
          <w:sz w:val="28"/>
          <w:szCs w:val="28"/>
        </w:rPr>
        <w:t>Приложение</w:t>
      </w:r>
      <w:r>
        <w:rPr>
          <w:rFonts w:ascii="Times New Roman" w:eastAsiaTheme="majorEastAsia" w:hAnsi="Times New Roman" w:cs="Times New Roman"/>
          <w:bCs/>
          <w:color w:val="000000" w:themeColor="text1"/>
          <w:sz w:val="28"/>
          <w:szCs w:val="28"/>
        </w:rPr>
        <w:t xml:space="preserve"> № </w:t>
      </w:r>
      <w:r w:rsidR="00AE7128">
        <w:rPr>
          <w:rFonts w:ascii="Times New Roman" w:eastAsiaTheme="majorEastAsia" w:hAnsi="Times New Roman" w:cs="Times New Roman"/>
          <w:bCs/>
          <w:color w:val="000000" w:themeColor="text1"/>
          <w:sz w:val="28"/>
          <w:szCs w:val="28"/>
        </w:rPr>
        <w:t>2</w:t>
      </w:r>
      <w:r>
        <w:rPr>
          <w:rFonts w:ascii="Times New Roman" w:eastAsiaTheme="majorEastAsia" w:hAnsi="Times New Roman" w:cs="Times New Roman"/>
          <w:bCs/>
          <w:color w:val="000000" w:themeColor="text1"/>
          <w:sz w:val="28"/>
          <w:szCs w:val="28"/>
        </w:rPr>
        <w:br w:type="textWrapping" w:clear="all"/>
      </w:r>
      <w:r>
        <w:rPr>
          <w:rFonts w:ascii="Times New Roman" w:eastAsiaTheme="majorEastAsia" w:hAnsi="Times New Roman" w:cs="Times New Roman"/>
          <w:bCs/>
          <w:color w:val="000000" w:themeColor="text1"/>
          <w:sz w:val="28"/>
          <w:szCs w:val="28"/>
        </w:rPr>
        <w:br w:type="textWrapping" w:clear="all"/>
      </w:r>
      <w:r w:rsidR="004B2C33">
        <w:rPr>
          <w:rFonts w:ascii="Times New Roman" w:eastAsiaTheme="majorEastAsia" w:hAnsi="Times New Roman" w:cs="Times New Roman"/>
          <w:bCs/>
          <w:color w:val="000000" w:themeColor="text1"/>
          <w:sz w:val="28"/>
          <w:szCs w:val="28"/>
        </w:rPr>
        <w:t xml:space="preserve"> </w:t>
      </w:r>
      <w:r w:rsidR="00AE7128">
        <w:rPr>
          <w:rFonts w:ascii="Times New Roman" w:eastAsiaTheme="majorEastAsia" w:hAnsi="Times New Roman" w:cs="Times New Roman"/>
          <w:bCs/>
          <w:color w:val="000000" w:themeColor="text1"/>
          <w:sz w:val="28"/>
          <w:szCs w:val="28"/>
        </w:rPr>
        <w:t>Интегральная оценка внутреннего финансового аудита</w:t>
      </w:r>
      <w:bookmarkEnd w:id="8"/>
    </w:p>
    <w:p w:rsidR="00AE7128" w:rsidRDefault="00AE7128" w:rsidP="0000539A">
      <w:pPr>
        <w:pStyle w:val="a8"/>
        <w:pBdr>
          <w:bottom w:val="single" w:sz="12" w:space="1" w:color="auto"/>
        </w:pBdr>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p>
    <w:p w:rsidR="00AE7128" w:rsidRDefault="00AE7128"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(наименование главного администратора бюджетных средств, администратора бюджетных средств)</w:t>
      </w:r>
    </w:p>
    <w:p w:rsidR="00AE21E2" w:rsidRDefault="00AE21E2"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p>
    <w:tbl>
      <w:tblPr>
        <w:tblStyle w:val="ae"/>
        <w:tblW w:w="15134" w:type="dxa"/>
        <w:tblLayout w:type="fixed"/>
        <w:tblLook w:val="04A0" w:firstRow="1" w:lastRow="0" w:firstColumn="1" w:lastColumn="0" w:noHBand="0" w:noVBand="1"/>
      </w:tblPr>
      <w:tblGrid>
        <w:gridCol w:w="675"/>
        <w:gridCol w:w="567"/>
        <w:gridCol w:w="567"/>
        <w:gridCol w:w="567"/>
        <w:gridCol w:w="567"/>
        <w:gridCol w:w="567"/>
        <w:gridCol w:w="567"/>
        <w:gridCol w:w="567"/>
        <w:gridCol w:w="567"/>
        <w:gridCol w:w="673"/>
        <w:gridCol w:w="825"/>
        <w:gridCol w:w="824"/>
        <w:gridCol w:w="655"/>
        <w:gridCol w:w="567"/>
        <w:gridCol w:w="567"/>
        <w:gridCol w:w="567"/>
        <w:gridCol w:w="709"/>
        <w:gridCol w:w="709"/>
        <w:gridCol w:w="992"/>
        <w:gridCol w:w="992"/>
        <w:gridCol w:w="1843"/>
      </w:tblGrid>
      <w:tr w:rsidR="00997428" w:rsidRPr="00A76BF3" w:rsidTr="00A87E99">
        <w:tc>
          <w:tcPr>
            <w:tcW w:w="13291" w:type="dxa"/>
            <w:gridSpan w:val="20"/>
          </w:tcPr>
          <w:p w:rsidR="00997428" w:rsidRPr="00A76BF3" w:rsidRDefault="00997428"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Номера вопросов из Перечня вопросов оценки внутреннего финансового аудита, осуществляемого в главном администраторе бюджетных средств, администраторе бюджетных средств</w:t>
            </w:r>
          </w:p>
        </w:tc>
        <w:tc>
          <w:tcPr>
            <w:tcW w:w="1843" w:type="dxa"/>
            <w:vMerge w:val="restart"/>
            <w:vAlign w:val="center"/>
          </w:tcPr>
          <w:p w:rsidR="00997428" w:rsidRDefault="00997428"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Средняя оценка (графы 1+2+…+20)/</w:t>
            </w:r>
          </w:p>
          <w:p w:rsidR="00997428" w:rsidRPr="00A76BF3" w:rsidRDefault="00997428"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кол-во заполненных граф</w:t>
            </w:r>
          </w:p>
        </w:tc>
      </w:tr>
      <w:tr w:rsidR="00A76BF3" w:rsidRPr="00A76BF3" w:rsidTr="00997428">
        <w:tc>
          <w:tcPr>
            <w:tcW w:w="2376" w:type="dxa"/>
            <w:gridSpan w:val="4"/>
            <w:vAlign w:val="center"/>
          </w:tcPr>
          <w:p w:rsidR="00A76BF3" w:rsidRPr="00A76BF3" w:rsidRDefault="00A76BF3" w:rsidP="0000539A">
            <w:pPr>
              <w:pStyle w:val="a8"/>
              <w:tabs>
                <w:tab w:val="left" w:pos="0"/>
                <w:tab w:val="left" w:pos="1134"/>
              </w:tabs>
              <w:ind w:left="-142"/>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Управление и структура внутреннего финансового аудита</w:t>
            </w:r>
          </w:p>
        </w:tc>
        <w:tc>
          <w:tcPr>
            <w:tcW w:w="2268" w:type="dxa"/>
            <w:gridSpan w:val="4"/>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Планирование внутреннего финансового аудита</w:t>
            </w:r>
          </w:p>
        </w:tc>
        <w:tc>
          <w:tcPr>
            <w:tcW w:w="3544" w:type="dxa"/>
            <w:gridSpan w:val="5"/>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Организация системы внутреннего финансового аудита</w:t>
            </w:r>
          </w:p>
        </w:tc>
        <w:tc>
          <w:tcPr>
            <w:tcW w:w="3119" w:type="dxa"/>
            <w:gridSpan w:val="5"/>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Организация системы отчетности о результатах деятельности субъекта внутреннего финансового аудита</w:t>
            </w:r>
          </w:p>
        </w:tc>
        <w:tc>
          <w:tcPr>
            <w:tcW w:w="1984" w:type="dxa"/>
            <w:gridSpan w:val="2"/>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Взаимодействие СВФА с органами мун.фин.контро</w:t>
            </w:r>
            <w:r w:rsidR="00283C2F">
              <w:rPr>
                <w:rFonts w:ascii="Times New Roman" w:eastAsiaTheme="majorEastAsia" w:hAnsi="Times New Roman" w:cs="Times New Roman"/>
                <w:bCs/>
                <w:color w:val="000000" w:themeColor="text1"/>
                <w:sz w:val="24"/>
                <w:szCs w:val="24"/>
              </w:rPr>
              <w:t>-</w:t>
            </w:r>
            <w:r w:rsidRPr="00A76BF3">
              <w:rPr>
                <w:rFonts w:ascii="Times New Roman" w:eastAsiaTheme="majorEastAsia" w:hAnsi="Times New Roman" w:cs="Times New Roman"/>
                <w:bCs/>
                <w:color w:val="000000" w:themeColor="text1"/>
                <w:sz w:val="24"/>
                <w:szCs w:val="24"/>
              </w:rPr>
              <w:t>ля</w:t>
            </w:r>
          </w:p>
        </w:tc>
        <w:tc>
          <w:tcPr>
            <w:tcW w:w="1843" w:type="dxa"/>
            <w:vMerge/>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r>
      <w:tr w:rsidR="00A76BF3" w:rsidRPr="00A76BF3" w:rsidTr="00A76BF3">
        <w:trPr>
          <w:trHeight w:val="678"/>
        </w:trPr>
        <w:tc>
          <w:tcPr>
            <w:tcW w:w="675"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5</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6</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7</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8</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9</w:t>
            </w:r>
          </w:p>
        </w:tc>
        <w:tc>
          <w:tcPr>
            <w:tcW w:w="673"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10</w:t>
            </w:r>
          </w:p>
        </w:tc>
        <w:tc>
          <w:tcPr>
            <w:tcW w:w="825"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11</w:t>
            </w:r>
          </w:p>
        </w:tc>
        <w:tc>
          <w:tcPr>
            <w:tcW w:w="824"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12</w:t>
            </w:r>
          </w:p>
        </w:tc>
        <w:tc>
          <w:tcPr>
            <w:tcW w:w="655"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13</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14</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15</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16</w:t>
            </w:r>
          </w:p>
        </w:tc>
        <w:tc>
          <w:tcPr>
            <w:tcW w:w="709"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17</w:t>
            </w:r>
          </w:p>
        </w:tc>
        <w:tc>
          <w:tcPr>
            <w:tcW w:w="709"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18</w:t>
            </w:r>
          </w:p>
        </w:tc>
        <w:tc>
          <w:tcPr>
            <w:tcW w:w="992"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19</w:t>
            </w:r>
          </w:p>
        </w:tc>
        <w:tc>
          <w:tcPr>
            <w:tcW w:w="992"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20</w:t>
            </w:r>
          </w:p>
        </w:tc>
        <w:tc>
          <w:tcPr>
            <w:tcW w:w="1843" w:type="dxa"/>
            <w:vMerge/>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r>
      <w:tr w:rsidR="00A76BF3" w:rsidRPr="00A76BF3" w:rsidTr="003B2166">
        <w:tc>
          <w:tcPr>
            <w:tcW w:w="675"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673"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3.2</w:t>
            </w:r>
          </w:p>
        </w:tc>
        <w:tc>
          <w:tcPr>
            <w:tcW w:w="825"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3.3</w:t>
            </w:r>
          </w:p>
        </w:tc>
        <w:tc>
          <w:tcPr>
            <w:tcW w:w="824"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3.4</w:t>
            </w:r>
          </w:p>
        </w:tc>
        <w:tc>
          <w:tcPr>
            <w:tcW w:w="655" w:type="dxa"/>
            <w:vMerge w:val="restart"/>
            <w:vAlign w:val="center"/>
          </w:tcPr>
          <w:p w:rsidR="003B2166" w:rsidRDefault="003B2166"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3.5</w:t>
            </w: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709"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709"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992"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992" w:type="dxa"/>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1843" w:type="dxa"/>
            <w:vMerge/>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r>
      <w:tr w:rsidR="00A76BF3" w:rsidRPr="00A76BF3" w:rsidTr="00A76BF3">
        <w:tc>
          <w:tcPr>
            <w:tcW w:w="675"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1.1</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1.2</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1.3</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1.4</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2.1</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2.2</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2.3</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2.4</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3.1</w:t>
            </w:r>
          </w:p>
        </w:tc>
        <w:tc>
          <w:tcPr>
            <w:tcW w:w="2322" w:type="dxa"/>
            <w:gridSpan w:val="3"/>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 xml:space="preserve">По указанным вопросам графы не заполняются в случае отсутствия подведомственных распорядителей (получателей) бюджетных средств </w:t>
            </w:r>
          </w:p>
        </w:tc>
        <w:tc>
          <w:tcPr>
            <w:tcW w:w="655" w:type="dxa"/>
            <w:vMerge/>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4.1</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4.2</w:t>
            </w:r>
          </w:p>
        </w:tc>
        <w:tc>
          <w:tcPr>
            <w:tcW w:w="567"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4.3</w:t>
            </w:r>
          </w:p>
        </w:tc>
        <w:tc>
          <w:tcPr>
            <w:tcW w:w="709"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4.4</w:t>
            </w:r>
          </w:p>
        </w:tc>
        <w:tc>
          <w:tcPr>
            <w:tcW w:w="709"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4.5</w:t>
            </w:r>
          </w:p>
        </w:tc>
        <w:tc>
          <w:tcPr>
            <w:tcW w:w="992"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5.1</w:t>
            </w:r>
          </w:p>
        </w:tc>
        <w:tc>
          <w:tcPr>
            <w:tcW w:w="992" w:type="dxa"/>
            <w:vAlign w:val="center"/>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sidRPr="00A76BF3">
              <w:rPr>
                <w:rFonts w:ascii="Times New Roman" w:eastAsiaTheme="majorEastAsia" w:hAnsi="Times New Roman" w:cs="Times New Roman"/>
                <w:bCs/>
                <w:color w:val="000000" w:themeColor="text1"/>
                <w:sz w:val="24"/>
                <w:szCs w:val="24"/>
              </w:rPr>
              <w:t>5.2</w:t>
            </w:r>
          </w:p>
        </w:tc>
        <w:tc>
          <w:tcPr>
            <w:tcW w:w="1843" w:type="dxa"/>
            <w:vMerge/>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r>
      <w:tr w:rsidR="00A76BF3" w:rsidRPr="00A76BF3" w:rsidTr="00A87E99">
        <w:tc>
          <w:tcPr>
            <w:tcW w:w="15134" w:type="dxa"/>
            <w:gridSpan w:val="21"/>
          </w:tcPr>
          <w:p w:rsidR="00A76BF3" w:rsidRPr="00A76BF3" w:rsidRDefault="00A76BF3"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Проставляются оценки выбранных вариантов ответов</w:t>
            </w:r>
          </w:p>
        </w:tc>
      </w:tr>
      <w:tr w:rsidR="00B768EF" w:rsidRPr="00A76BF3" w:rsidTr="00A76BF3">
        <w:tc>
          <w:tcPr>
            <w:tcW w:w="675"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673"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825"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824"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655"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567"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709"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709"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992"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992"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c>
          <w:tcPr>
            <w:tcW w:w="1843" w:type="dxa"/>
          </w:tcPr>
          <w:p w:rsidR="00B768EF" w:rsidRPr="00A76BF3" w:rsidRDefault="00B768EF" w:rsidP="0000539A">
            <w:pPr>
              <w:pStyle w:val="a8"/>
              <w:tabs>
                <w:tab w:val="left" w:pos="0"/>
                <w:tab w:val="left" w:pos="1134"/>
              </w:tabs>
              <w:ind w:left="0"/>
              <w:jc w:val="center"/>
              <w:rPr>
                <w:rFonts w:ascii="Times New Roman" w:eastAsiaTheme="majorEastAsia" w:hAnsi="Times New Roman" w:cs="Times New Roman"/>
                <w:bCs/>
                <w:color w:val="000000" w:themeColor="text1"/>
                <w:sz w:val="24"/>
                <w:szCs w:val="24"/>
              </w:rPr>
            </w:pPr>
          </w:p>
        </w:tc>
      </w:tr>
    </w:tbl>
    <w:p w:rsidR="00AE7128" w:rsidRDefault="00AE7128"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sectPr w:rsidR="00AE7128" w:rsidSect="00AE7128">
          <w:pgSz w:w="16838" w:h="11906" w:orient="landscape"/>
          <w:pgMar w:top="993" w:right="1134" w:bottom="851" w:left="1134" w:header="709" w:footer="709" w:gutter="0"/>
          <w:cols w:space="708"/>
          <w:docGrid w:linePitch="360"/>
        </w:sectPr>
      </w:pPr>
    </w:p>
    <w:p w:rsidR="004D7D5B" w:rsidRDefault="00C007E7" w:rsidP="00C007E7">
      <w:pPr>
        <w:pStyle w:val="a8"/>
        <w:tabs>
          <w:tab w:val="left" w:pos="0"/>
          <w:tab w:val="left" w:pos="1134"/>
        </w:tabs>
        <w:spacing w:after="0"/>
        <w:ind w:left="0" w:firstLine="426"/>
        <w:jc w:val="center"/>
        <w:outlineLvl w:val="0"/>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lastRenderedPageBreak/>
        <w:t xml:space="preserve">                                                                                                                                                                        </w:t>
      </w:r>
      <w:bookmarkStart w:id="9" w:name="_Toc342247"/>
      <w:r w:rsidR="00997428" w:rsidRPr="00997428">
        <w:rPr>
          <w:rFonts w:ascii="Times New Roman" w:eastAsiaTheme="majorEastAsia" w:hAnsi="Times New Roman" w:cs="Times New Roman"/>
          <w:bCs/>
          <w:color w:val="000000" w:themeColor="text1"/>
          <w:sz w:val="28"/>
          <w:szCs w:val="28"/>
        </w:rPr>
        <w:t>Приложение № 3</w:t>
      </w:r>
      <w:r>
        <w:rPr>
          <w:rFonts w:ascii="Times New Roman" w:eastAsiaTheme="majorEastAsia" w:hAnsi="Times New Roman" w:cs="Times New Roman"/>
          <w:bCs/>
          <w:color w:val="000000" w:themeColor="text1"/>
          <w:sz w:val="28"/>
          <w:szCs w:val="28"/>
        </w:rPr>
        <w:t xml:space="preserve"> </w:t>
      </w:r>
      <w:r>
        <w:rPr>
          <w:rFonts w:ascii="Times New Roman" w:eastAsiaTheme="majorEastAsia" w:hAnsi="Times New Roman" w:cs="Times New Roman"/>
          <w:bCs/>
          <w:color w:val="000000" w:themeColor="text1"/>
          <w:sz w:val="28"/>
          <w:szCs w:val="28"/>
        </w:rPr>
        <w:br w:type="textWrapping" w:clear="all"/>
      </w:r>
      <w:r>
        <w:rPr>
          <w:rFonts w:ascii="Times New Roman" w:eastAsiaTheme="majorEastAsia" w:hAnsi="Times New Roman" w:cs="Times New Roman"/>
          <w:bCs/>
          <w:color w:val="000000" w:themeColor="text1"/>
          <w:sz w:val="28"/>
          <w:szCs w:val="28"/>
        </w:rPr>
        <w:br w:type="textWrapping" w:clear="all"/>
      </w:r>
      <w:r w:rsidR="004D7D5B">
        <w:rPr>
          <w:rFonts w:ascii="Times New Roman" w:eastAsiaTheme="majorEastAsia" w:hAnsi="Times New Roman" w:cs="Times New Roman"/>
          <w:bCs/>
          <w:color w:val="000000" w:themeColor="text1"/>
          <w:sz w:val="28"/>
          <w:szCs w:val="28"/>
        </w:rPr>
        <w:t>Результаты деятельности субъекта внутреннего финансового аудита</w:t>
      </w:r>
      <w:bookmarkEnd w:id="9"/>
    </w:p>
    <w:p w:rsidR="004D7D5B" w:rsidRDefault="004D7D5B" w:rsidP="004D7D5B">
      <w:pPr>
        <w:pStyle w:val="a8"/>
        <w:pBdr>
          <w:bottom w:val="single" w:sz="12" w:space="1" w:color="auto"/>
        </w:pBdr>
        <w:tabs>
          <w:tab w:val="left" w:pos="0"/>
          <w:tab w:val="left" w:pos="1134"/>
        </w:tabs>
        <w:spacing w:after="0"/>
        <w:ind w:left="0" w:firstLine="426"/>
        <w:jc w:val="center"/>
        <w:outlineLvl w:val="0"/>
        <w:rPr>
          <w:rFonts w:ascii="Times New Roman" w:eastAsiaTheme="majorEastAsia" w:hAnsi="Times New Roman" w:cs="Times New Roman"/>
          <w:bCs/>
          <w:color w:val="000000" w:themeColor="text1"/>
          <w:sz w:val="28"/>
          <w:szCs w:val="28"/>
        </w:rPr>
      </w:pPr>
    </w:p>
    <w:p w:rsidR="004D7D5B" w:rsidRDefault="004D7D5B"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(наименование главного администратора бюджетных средств, администратора бюджетных средств)</w:t>
      </w:r>
    </w:p>
    <w:p w:rsidR="00386404" w:rsidRDefault="00386404"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p>
    <w:tbl>
      <w:tblPr>
        <w:tblStyle w:val="ae"/>
        <w:tblW w:w="15417" w:type="dxa"/>
        <w:tblLayout w:type="fixed"/>
        <w:tblLook w:val="04A0" w:firstRow="1" w:lastRow="0" w:firstColumn="1" w:lastColumn="0" w:noHBand="0" w:noVBand="1"/>
      </w:tblPr>
      <w:tblGrid>
        <w:gridCol w:w="1384"/>
        <w:gridCol w:w="1134"/>
        <w:gridCol w:w="1276"/>
        <w:gridCol w:w="1417"/>
        <w:gridCol w:w="1276"/>
        <w:gridCol w:w="1134"/>
        <w:gridCol w:w="1134"/>
        <w:gridCol w:w="1418"/>
        <w:gridCol w:w="850"/>
        <w:gridCol w:w="1276"/>
        <w:gridCol w:w="888"/>
        <w:gridCol w:w="813"/>
        <w:gridCol w:w="567"/>
        <w:gridCol w:w="850"/>
      </w:tblGrid>
      <w:tr w:rsidR="00F125F2" w:rsidRPr="001E2DAF" w:rsidTr="0071700D">
        <w:tc>
          <w:tcPr>
            <w:tcW w:w="1384" w:type="dxa"/>
            <w:vMerge w:val="restart"/>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Сумма бюджетных средств, в отношении которых проведены проверки СФВА (при наличии соответст</w:t>
            </w:r>
            <w:r w:rsidR="0071700D" w:rsidRPr="00A762C6">
              <w:rPr>
                <w:rFonts w:ascii="Times New Roman" w:eastAsiaTheme="majorEastAsia" w:hAnsi="Times New Roman" w:cs="Times New Roman"/>
                <w:bCs/>
                <w:color w:val="000000" w:themeColor="text1"/>
                <w:sz w:val="18"/>
                <w:szCs w:val="18"/>
              </w:rPr>
              <w:t>-</w:t>
            </w:r>
            <w:r w:rsidRPr="00A762C6">
              <w:rPr>
                <w:rFonts w:ascii="Times New Roman" w:eastAsiaTheme="majorEastAsia" w:hAnsi="Times New Roman" w:cs="Times New Roman"/>
                <w:bCs/>
                <w:color w:val="000000" w:themeColor="text1"/>
                <w:sz w:val="18"/>
                <w:szCs w:val="18"/>
              </w:rPr>
              <w:t xml:space="preserve">вующей отчетности) </w:t>
            </w:r>
          </w:p>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(тыс. рублей)</w:t>
            </w:r>
          </w:p>
        </w:tc>
        <w:tc>
          <w:tcPr>
            <w:tcW w:w="9639" w:type="dxa"/>
            <w:gridSpan w:val="8"/>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Объемы выявленных нарушений по результатам аудиторских проверок СВФА (тыс. рублей)</w:t>
            </w:r>
          </w:p>
        </w:tc>
        <w:tc>
          <w:tcPr>
            <w:tcW w:w="4394" w:type="dxa"/>
            <w:gridSpan w:val="5"/>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Принятые меры по устранению выявленных нарушений, в т.ч.:</w:t>
            </w:r>
          </w:p>
        </w:tc>
      </w:tr>
      <w:tr w:rsidR="0071700D" w:rsidRPr="001E2DAF" w:rsidTr="0071700D">
        <w:tc>
          <w:tcPr>
            <w:tcW w:w="1384"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vMerge w:val="restart"/>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w:t>
            </w:r>
            <w:r w:rsidR="00F125F2" w:rsidRPr="00A762C6">
              <w:rPr>
                <w:rFonts w:ascii="Times New Roman" w:eastAsiaTheme="majorEastAsia" w:hAnsi="Times New Roman" w:cs="Times New Roman"/>
                <w:bCs/>
                <w:color w:val="000000" w:themeColor="text1"/>
                <w:sz w:val="18"/>
                <w:szCs w:val="18"/>
              </w:rPr>
              <w:t>ецелевое использо-вание бюджетных средств</w:t>
            </w:r>
          </w:p>
        </w:tc>
        <w:tc>
          <w:tcPr>
            <w:tcW w:w="1276" w:type="dxa"/>
            <w:vMerge w:val="restart"/>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w:t>
            </w:r>
            <w:r w:rsidR="00F125F2" w:rsidRPr="00A762C6">
              <w:rPr>
                <w:rFonts w:ascii="Times New Roman" w:eastAsiaTheme="majorEastAsia" w:hAnsi="Times New Roman" w:cs="Times New Roman"/>
                <w:bCs/>
                <w:color w:val="000000" w:themeColor="text1"/>
                <w:sz w:val="18"/>
                <w:szCs w:val="18"/>
              </w:rPr>
              <w:t>арушения при осущест-влении муниципаль-ных закупок</w:t>
            </w:r>
          </w:p>
        </w:tc>
        <w:tc>
          <w:tcPr>
            <w:tcW w:w="1417" w:type="dxa"/>
            <w:vMerge w:val="restart"/>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w:t>
            </w:r>
            <w:r w:rsidR="00F125F2" w:rsidRPr="00A762C6">
              <w:rPr>
                <w:rFonts w:ascii="Times New Roman" w:eastAsiaTheme="majorEastAsia" w:hAnsi="Times New Roman" w:cs="Times New Roman"/>
                <w:bCs/>
                <w:color w:val="000000" w:themeColor="text1"/>
                <w:sz w:val="18"/>
                <w:szCs w:val="18"/>
              </w:rPr>
              <w:t>арушение указаний о порядке применения бюджетной классифика-ции Российской Федерации</w:t>
            </w:r>
          </w:p>
        </w:tc>
        <w:tc>
          <w:tcPr>
            <w:tcW w:w="1276" w:type="dxa"/>
            <w:vMerge w:val="restart"/>
            <w:vAlign w:val="center"/>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нарушения налогового, бюджетного и иного законода-тельства, в результате которых образова-лись потери доходов бюджета</w:t>
            </w:r>
          </w:p>
        </w:tc>
        <w:tc>
          <w:tcPr>
            <w:tcW w:w="1134" w:type="dxa"/>
            <w:vMerge w:val="restart"/>
            <w:vAlign w:val="center"/>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нарушения при работе с муници-пальной собствен-ностью</w:t>
            </w:r>
          </w:p>
        </w:tc>
        <w:tc>
          <w:tcPr>
            <w:tcW w:w="1134" w:type="dxa"/>
            <w:vMerge w:val="restart"/>
            <w:vAlign w:val="center"/>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нарушения учета и отчетности</w:t>
            </w:r>
          </w:p>
        </w:tc>
        <w:tc>
          <w:tcPr>
            <w:tcW w:w="1418" w:type="dxa"/>
            <w:vMerge w:val="restart"/>
            <w:vAlign w:val="center"/>
          </w:tcPr>
          <w:p w:rsidR="0071700D"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нарушения условий предостав-</w:t>
            </w:r>
          </w:p>
          <w:p w:rsidR="0071700D"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ления бюджетных средств (бюджетных кредитов, межбюджет-</w:t>
            </w:r>
          </w:p>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ных трансфертов, бюджетных инвестиций, субсидий)</w:t>
            </w:r>
          </w:p>
        </w:tc>
        <w:tc>
          <w:tcPr>
            <w:tcW w:w="850" w:type="dxa"/>
            <w:vMerge w:val="restart"/>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иные нарушения</w:t>
            </w:r>
          </w:p>
        </w:tc>
        <w:tc>
          <w:tcPr>
            <w:tcW w:w="2164" w:type="dxa"/>
            <w:gridSpan w:val="2"/>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возмещенные средства</w:t>
            </w:r>
          </w:p>
        </w:tc>
        <w:tc>
          <w:tcPr>
            <w:tcW w:w="2230" w:type="dxa"/>
            <w:gridSpan w:val="3"/>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Привлечение к ответственности виновных должностных лиц, в т.ч.:</w:t>
            </w:r>
          </w:p>
        </w:tc>
      </w:tr>
      <w:tr w:rsidR="0071700D" w:rsidRPr="001E2DAF" w:rsidTr="0071700D">
        <w:tc>
          <w:tcPr>
            <w:tcW w:w="1384"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417"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418"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850" w:type="dxa"/>
            <w:vMerge/>
          </w:tcPr>
          <w:p w:rsidR="00F125F2" w:rsidRPr="00A762C6" w:rsidRDefault="00F125F2"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объем возмещен-ных средств (тыс. рублей)</w:t>
            </w:r>
          </w:p>
        </w:tc>
        <w:tc>
          <w:tcPr>
            <w:tcW w:w="888" w:type="dxa"/>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в % к объему средств, подле-жащих возме-щению</w:t>
            </w:r>
          </w:p>
        </w:tc>
        <w:tc>
          <w:tcPr>
            <w:tcW w:w="813" w:type="dxa"/>
            <w:vAlign w:val="center"/>
          </w:tcPr>
          <w:p w:rsidR="0071700D"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p w:rsidR="0071700D" w:rsidRPr="00A762C6" w:rsidRDefault="0071700D" w:rsidP="0000539A">
            <w:pPr>
              <w:jc w:val="center"/>
              <w:rPr>
                <w:rFonts w:ascii="Times New Roman" w:hAnsi="Times New Roman" w:cs="Times New Roman"/>
                <w:sz w:val="18"/>
                <w:szCs w:val="18"/>
              </w:rPr>
            </w:pPr>
          </w:p>
          <w:p w:rsidR="0071700D" w:rsidRPr="00A762C6" w:rsidRDefault="0071700D" w:rsidP="0000539A">
            <w:pPr>
              <w:jc w:val="center"/>
              <w:rPr>
                <w:rFonts w:ascii="Times New Roman" w:hAnsi="Times New Roman" w:cs="Times New Roman"/>
                <w:sz w:val="18"/>
                <w:szCs w:val="18"/>
              </w:rPr>
            </w:pPr>
          </w:p>
          <w:p w:rsidR="00F125F2" w:rsidRPr="00A762C6" w:rsidRDefault="0071700D" w:rsidP="0000539A">
            <w:pPr>
              <w:jc w:val="center"/>
              <w:rPr>
                <w:rFonts w:ascii="Times New Roman" w:hAnsi="Times New Roman" w:cs="Times New Roman"/>
                <w:sz w:val="18"/>
                <w:szCs w:val="18"/>
              </w:rPr>
            </w:pPr>
            <w:r w:rsidRPr="00A762C6">
              <w:rPr>
                <w:rFonts w:ascii="Times New Roman" w:hAnsi="Times New Roman" w:cs="Times New Roman"/>
                <w:sz w:val="18"/>
                <w:szCs w:val="18"/>
              </w:rPr>
              <w:t>к мате-риал-ьной</w:t>
            </w:r>
          </w:p>
        </w:tc>
        <w:tc>
          <w:tcPr>
            <w:tcW w:w="567" w:type="dxa"/>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к уго-лов-ной</w:t>
            </w:r>
          </w:p>
        </w:tc>
        <w:tc>
          <w:tcPr>
            <w:tcW w:w="850" w:type="dxa"/>
            <w:vAlign w:val="center"/>
          </w:tcPr>
          <w:p w:rsidR="00F125F2" w:rsidRPr="00A762C6" w:rsidRDefault="0071700D"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к адми-нистра-тивной и дисци-плинар-ной</w:t>
            </w:r>
          </w:p>
        </w:tc>
      </w:tr>
      <w:tr w:rsidR="0071700D" w:rsidRPr="001E2DAF" w:rsidTr="0071700D">
        <w:tc>
          <w:tcPr>
            <w:tcW w:w="1384"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w:t>
            </w:r>
          </w:p>
        </w:tc>
        <w:tc>
          <w:tcPr>
            <w:tcW w:w="1134"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2</w:t>
            </w:r>
          </w:p>
        </w:tc>
        <w:tc>
          <w:tcPr>
            <w:tcW w:w="1276"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3</w:t>
            </w:r>
          </w:p>
        </w:tc>
        <w:tc>
          <w:tcPr>
            <w:tcW w:w="1417"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4</w:t>
            </w:r>
          </w:p>
        </w:tc>
        <w:tc>
          <w:tcPr>
            <w:tcW w:w="1276"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5</w:t>
            </w:r>
          </w:p>
        </w:tc>
        <w:tc>
          <w:tcPr>
            <w:tcW w:w="1134"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6</w:t>
            </w:r>
          </w:p>
        </w:tc>
        <w:tc>
          <w:tcPr>
            <w:tcW w:w="1134"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7</w:t>
            </w:r>
          </w:p>
        </w:tc>
        <w:tc>
          <w:tcPr>
            <w:tcW w:w="1418"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8</w:t>
            </w:r>
          </w:p>
        </w:tc>
        <w:tc>
          <w:tcPr>
            <w:tcW w:w="850"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9</w:t>
            </w:r>
          </w:p>
        </w:tc>
        <w:tc>
          <w:tcPr>
            <w:tcW w:w="1276"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10</w:t>
            </w:r>
          </w:p>
        </w:tc>
        <w:tc>
          <w:tcPr>
            <w:tcW w:w="888"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11</w:t>
            </w:r>
          </w:p>
        </w:tc>
        <w:tc>
          <w:tcPr>
            <w:tcW w:w="813"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12</w:t>
            </w:r>
          </w:p>
        </w:tc>
        <w:tc>
          <w:tcPr>
            <w:tcW w:w="567"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13</w:t>
            </w:r>
          </w:p>
        </w:tc>
        <w:tc>
          <w:tcPr>
            <w:tcW w:w="850" w:type="dxa"/>
          </w:tcPr>
          <w:p w:rsidR="008927A0" w:rsidRPr="00A762C6" w:rsidRDefault="009B1717"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r w:rsidRPr="00A762C6">
              <w:rPr>
                <w:rFonts w:ascii="Times New Roman" w:eastAsiaTheme="majorEastAsia" w:hAnsi="Times New Roman" w:cs="Times New Roman"/>
                <w:bCs/>
                <w:color w:val="000000" w:themeColor="text1"/>
                <w:sz w:val="18"/>
                <w:szCs w:val="18"/>
              </w:rPr>
              <w:t>14</w:t>
            </w:r>
          </w:p>
        </w:tc>
      </w:tr>
      <w:tr w:rsidR="0071700D" w:rsidRPr="001E2DAF" w:rsidTr="0071700D">
        <w:tc>
          <w:tcPr>
            <w:tcW w:w="1384"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417"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134"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418"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850"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1276"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888"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813"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567"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c>
          <w:tcPr>
            <w:tcW w:w="850" w:type="dxa"/>
          </w:tcPr>
          <w:p w:rsidR="008927A0" w:rsidRPr="00A762C6" w:rsidRDefault="008927A0" w:rsidP="0000539A">
            <w:pPr>
              <w:pStyle w:val="a8"/>
              <w:tabs>
                <w:tab w:val="left" w:pos="0"/>
                <w:tab w:val="left" w:pos="1134"/>
              </w:tabs>
              <w:ind w:left="0"/>
              <w:jc w:val="center"/>
              <w:rPr>
                <w:rFonts w:ascii="Times New Roman" w:eastAsiaTheme="majorEastAsia" w:hAnsi="Times New Roman" w:cs="Times New Roman"/>
                <w:bCs/>
                <w:color w:val="000000" w:themeColor="text1"/>
                <w:sz w:val="18"/>
                <w:szCs w:val="18"/>
              </w:rPr>
            </w:pPr>
          </w:p>
        </w:tc>
      </w:tr>
      <w:tr w:rsidR="0071700D" w:rsidRPr="001E2DAF" w:rsidTr="0071700D">
        <w:tc>
          <w:tcPr>
            <w:tcW w:w="138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417"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418"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50"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88"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13"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567"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50"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r>
      <w:tr w:rsidR="0071700D" w:rsidRPr="001E2DAF" w:rsidTr="0071700D">
        <w:tc>
          <w:tcPr>
            <w:tcW w:w="138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417"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134"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418"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50"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1276"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88"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13"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567"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c>
          <w:tcPr>
            <w:tcW w:w="850" w:type="dxa"/>
          </w:tcPr>
          <w:p w:rsidR="008927A0" w:rsidRPr="001E2DAF" w:rsidRDefault="008927A0" w:rsidP="0000539A">
            <w:pPr>
              <w:pStyle w:val="a8"/>
              <w:tabs>
                <w:tab w:val="left" w:pos="0"/>
                <w:tab w:val="left" w:pos="1134"/>
              </w:tabs>
              <w:ind w:left="0"/>
              <w:jc w:val="center"/>
              <w:rPr>
                <w:rFonts w:ascii="Calibri" w:eastAsiaTheme="majorEastAsia" w:hAnsi="Calibri" w:cs="Times New Roman"/>
                <w:bCs/>
                <w:color w:val="000000" w:themeColor="text1"/>
                <w:sz w:val="18"/>
                <w:szCs w:val="18"/>
              </w:rPr>
            </w:pPr>
          </w:p>
        </w:tc>
      </w:tr>
    </w:tbl>
    <w:p w:rsidR="00386404" w:rsidRDefault="00386404" w:rsidP="0000539A">
      <w:pPr>
        <w:pStyle w:val="a8"/>
        <w:tabs>
          <w:tab w:val="left" w:pos="0"/>
          <w:tab w:val="left" w:pos="1134"/>
        </w:tabs>
        <w:spacing w:after="0"/>
        <w:ind w:left="0" w:firstLine="426"/>
        <w:jc w:val="center"/>
        <w:rPr>
          <w:rFonts w:ascii="Times New Roman" w:eastAsiaTheme="majorEastAsia" w:hAnsi="Times New Roman" w:cs="Times New Roman"/>
          <w:bCs/>
          <w:color w:val="000000" w:themeColor="text1"/>
          <w:sz w:val="28"/>
          <w:szCs w:val="28"/>
        </w:rPr>
      </w:pPr>
    </w:p>
    <w:p w:rsidR="00AB23CF" w:rsidRDefault="00AB23CF" w:rsidP="0000539A">
      <w:pP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br w:type="page"/>
      </w:r>
    </w:p>
    <w:p w:rsidR="00AB23CF" w:rsidRDefault="00C007E7" w:rsidP="00AE7128">
      <w:pPr>
        <w:pStyle w:val="a8"/>
        <w:tabs>
          <w:tab w:val="left" w:pos="0"/>
          <w:tab w:val="left" w:pos="1134"/>
        </w:tabs>
        <w:spacing w:after="0"/>
        <w:ind w:left="0" w:firstLine="426"/>
        <w:jc w:val="center"/>
        <w:outlineLvl w:val="0"/>
        <w:rPr>
          <w:rFonts w:ascii="Times New Roman" w:hAnsi="Times New Roman" w:cs="Times New Roman"/>
          <w:sz w:val="28"/>
          <w:szCs w:val="28"/>
        </w:rPr>
      </w:pPr>
      <w:r>
        <w:rPr>
          <w:rFonts w:ascii="Times New Roman" w:eastAsiaTheme="majorEastAsia" w:hAnsi="Times New Roman" w:cs="Times New Roman"/>
          <w:bCs/>
          <w:color w:val="000000" w:themeColor="text1"/>
          <w:sz w:val="28"/>
          <w:szCs w:val="28"/>
        </w:rPr>
        <w:lastRenderedPageBreak/>
        <w:t xml:space="preserve">                                                                                                                                         </w:t>
      </w:r>
      <w:bookmarkStart w:id="10" w:name="_Toc342248"/>
      <w:r w:rsidR="00AB23CF" w:rsidRPr="00AB23CF">
        <w:rPr>
          <w:rFonts w:ascii="Times New Roman" w:eastAsiaTheme="majorEastAsia" w:hAnsi="Times New Roman" w:cs="Times New Roman"/>
          <w:bCs/>
          <w:color w:val="000000" w:themeColor="text1"/>
          <w:sz w:val="28"/>
          <w:szCs w:val="28"/>
        </w:rPr>
        <w:t>Таблица к приложению № 1</w:t>
      </w:r>
      <w:r>
        <w:rPr>
          <w:rFonts w:ascii="Times New Roman" w:eastAsiaTheme="majorEastAsia" w:hAnsi="Times New Roman" w:cs="Times New Roman"/>
          <w:bCs/>
          <w:color w:val="000000" w:themeColor="text1"/>
          <w:sz w:val="28"/>
          <w:szCs w:val="28"/>
        </w:rPr>
        <w:br w:type="textWrapping" w:clear="all"/>
      </w:r>
      <w:r>
        <w:rPr>
          <w:rFonts w:ascii="Times New Roman" w:hAnsi="Times New Roman" w:cs="Times New Roman"/>
          <w:sz w:val="28"/>
          <w:szCs w:val="28"/>
        </w:rPr>
        <w:br w:type="textWrapping" w:clear="all"/>
      </w:r>
      <w:r w:rsidR="00AB23CF" w:rsidRPr="00AB23CF">
        <w:rPr>
          <w:rFonts w:ascii="Times New Roman" w:hAnsi="Times New Roman" w:cs="Times New Roman"/>
          <w:sz w:val="28"/>
          <w:szCs w:val="28"/>
        </w:rPr>
        <w:t>Численность и кадровый состав субъекта внутреннего финансового аудита</w:t>
      </w:r>
      <w:bookmarkEnd w:id="10"/>
    </w:p>
    <w:p w:rsidR="00AB23CF" w:rsidRPr="00AB23CF" w:rsidRDefault="00AB23CF" w:rsidP="0000539A">
      <w:pPr>
        <w:pStyle w:val="a8"/>
        <w:tabs>
          <w:tab w:val="left" w:pos="0"/>
          <w:tab w:val="left" w:pos="1134"/>
        </w:tabs>
        <w:spacing w:after="0"/>
        <w:ind w:left="0" w:firstLine="426"/>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w:t>
      </w:r>
    </w:p>
    <w:p w:rsidR="00AB23CF" w:rsidRDefault="00AB23CF" w:rsidP="0000539A">
      <w:pPr>
        <w:pStyle w:val="a8"/>
        <w:tabs>
          <w:tab w:val="left" w:pos="0"/>
          <w:tab w:val="left" w:pos="1134"/>
        </w:tabs>
        <w:spacing w:after="0"/>
        <w:ind w:left="0" w:firstLine="426"/>
        <w:jc w:val="center"/>
      </w:pPr>
      <w:r w:rsidRPr="00AB23CF">
        <w:rPr>
          <w:rFonts w:ascii="Times New Roman" w:hAnsi="Times New Roman" w:cs="Times New Roman"/>
          <w:sz w:val="28"/>
          <w:szCs w:val="28"/>
        </w:rPr>
        <w:t>(наименование главного администратора бюджетн</w:t>
      </w:r>
      <w:r>
        <w:rPr>
          <w:rFonts w:ascii="Times New Roman" w:hAnsi="Times New Roman" w:cs="Times New Roman"/>
          <w:sz w:val="28"/>
          <w:szCs w:val="28"/>
        </w:rPr>
        <w:t>ы</w:t>
      </w:r>
      <w:r w:rsidRPr="00AB23CF">
        <w:rPr>
          <w:rFonts w:ascii="Times New Roman" w:hAnsi="Times New Roman" w:cs="Times New Roman"/>
          <w:sz w:val="28"/>
          <w:szCs w:val="28"/>
        </w:rPr>
        <w:t>х средств, администратора бюджетных средств</w:t>
      </w:r>
      <w:r>
        <w:t>)</w:t>
      </w:r>
    </w:p>
    <w:p w:rsidR="00AB23CF" w:rsidRDefault="00AB23CF" w:rsidP="0000539A">
      <w:pPr>
        <w:pStyle w:val="a8"/>
        <w:tabs>
          <w:tab w:val="left" w:pos="0"/>
          <w:tab w:val="left" w:pos="1134"/>
        </w:tabs>
        <w:spacing w:after="0"/>
        <w:ind w:left="0" w:firstLine="426"/>
        <w:jc w:val="center"/>
      </w:pPr>
    </w:p>
    <w:tbl>
      <w:tblPr>
        <w:tblStyle w:val="ae"/>
        <w:tblW w:w="0" w:type="auto"/>
        <w:tblLayout w:type="fixed"/>
        <w:tblLook w:val="04A0" w:firstRow="1" w:lastRow="0" w:firstColumn="1" w:lastColumn="0" w:noHBand="0" w:noVBand="1"/>
      </w:tblPr>
      <w:tblGrid>
        <w:gridCol w:w="817"/>
        <w:gridCol w:w="1418"/>
        <w:gridCol w:w="708"/>
        <w:gridCol w:w="993"/>
        <w:gridCol w:w="1417"/>
        <w:gridCol w:w="425"/>
        <w:gridCol w:w="709"/>
        <w:gridCol w:w="1276"/>
        <w:gridCol w:w="992"/>
        <w:gridCol w:w="1134"/>
        <w:gridCol w:w="1701"/>
        <w:gridCol w:w="1701"/>
        <w:gridCol w:w="1495"/>
      </w:tblGrid>
      <w:tr w:rsidR="00AB23CF" w:rsidRPr="001E2DAF" w:rsidTr="00C73FA5">
        <w:tc>
          <w:tcPr>
            <w:tcW w:w="9889" w:type="dxa"/>
            <w:gridSpan w:val="10"/>
            <w:vAlign w:val="center"/>
          </w:tcPr>
          <w:p w:rsidR="00AB23CF" w:rsidRPr="001E2DAF" w:rsidRDefault="00AB23CF" w:rsidP="0000539A">
            <w:pPr>
              <w:pStyle w:val="a8"/>
              <w:tabs>
                <w:tab w:val="left" w:pos="0"/>
                <w:tab w:val="left" w:pos="1134"/>
                <w:tab w:val="left" w:pos="3572"/>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Наличие субъекта внутреннего финансового аудита (СВФА) в центральном аппарате главного администратора бюджетных средств, администратора бюджетных средств</w:t>
            </w:r>
          </w:p>
        </w:tc>
        <w:tc>
          <w:tcPr>
            <w:tcW w:w="4897" w:type="dxa"/>
            <w:gridSpan w:val="3"/>
            <w:vMerge w:val="restart"/>
            <w:vAlign w:val="center"/>
          </w:tcPr>
          <w:p w:rsidR="00AB23CF" w:rsidRPr="001E2DAF" w:rsidRDefault="00AB23C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Кадровый состав СВФА центрального аппарата главного администратора бюджетных средств, администратора бюджетных средств</w:t>
            </w:r>
          </w:p>
        </w:tc>
      </w:tr>
      <w:tr w:rsidR="00A87E99" w:rsidRPr="001E2DAF" w:rsidTr="00A87E99">
        <w:trPr>
          <w:trHeight w:val="820"/>
        </w:trPr>
        <w:tc>
          <w:tcPr>
            <w:tcW w:w="2943"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СВФА является самостоятельным структурным подразделением</w:t>
            </w:r>
          </w:p>
        </w:tc>
        <w:tc>
          <w:tcPr>
            <w:tcW w:w="2835"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СВФА находится в составе других подразделений центрального аппарата</w:t>
            </w:r>
          </w:p>
        </w:tc>
        <w:tc>
          <w:tcPr>
            <w:tcW w:w="2977"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внутренний финансовый аудит осуществляется другими структурными подразделениями</w:t>
            </w:r>
          </w:p>
        </w:tc>
        <w:tc>
          <w:tcPr>
            <w:tcW w:w="1134" w:type="dxa"/>
            <w:vMerge w:val="restart"/>
            <w:vAlign w:val="center"/>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A87E99">
              <w:rPr>
                <w:rFonts w:ascii="Times New Roman" w:eastAsia="Yu Mincho Light" w:hAnsi="Times New Roman" w:cs="Times New Roman"/>
                <w:bCs/>
                <w:color w:val="000000" w:themeColor="text1"/>
                <w:sz w:val="24"/>
                <w:szCs w:val="24"/>
              </w:rPr>
              <w:t>фонд оплаты труда СВФА (тыс. рублей)</w:t>
            </w:r>
          </w:p>
        </w:tc>
        <w:tc>
          <w:tcPr>
            <w:tcW w:w="4897" w:type="dxa"/>
            <w:gridSpan w:val="3"/>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r>
      <w:tr w:rsidR="00A87E99" w:rsidRPr="001E2DAF" w:rsidTr="00A87E99">
        <w:trPr>
          <w:trHeight w:val="1106"/>
        </w:trPr>
        <w:tc>
          <w:tcPr>
            <w:tcW w:w="2943"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численность СВФА на 1 января года, следующего за отчетным (кол-во должностных лиц)</w:t>
            </w:r>
          </w:p>
        </w:tc>
        <w:tc>
          <w:tcPr>
            <w:tcW w:w="2835" w:type="dxa"/>
            <w:gridSpan w:val="3"/>
          </w:tcPr>
          <w:p w:rsidR="00A87E99" w:rsidRPr="001E2DAF" w:rsidRDefault="00A87E99" w:rsidP="0000539A">
            <w:pPr>
              <w:jc w:val="center"/>
              <w:rPr>
                <w:rFonts w:ascii="Times New Roman" w:eastAsia="Yu Mincho Light" w:hAnsi="Times New Roman" w:cs="Times New Roman"/>
                <w:sz w:val="24"/>
                <w:szCs w:val="24"/>
              </w:rPr>
            </w:pPr>
            <w:r w:rsidRPr="001E2DAF">
              <w:rPr>
                <w:rFonts w:ascii="Times New Roman" w:eastAsia="Yu Mincho Light" w:hAnsi="Times New Roman" w:cs="Times New Roman"/>
                <w:bCs/>
                <w:color w:val="000000" w:themeColor="text1"/>
                <w:sz w:val="24"/>
                <w:szCs w:val="24"/>
              </w:rPr>
              <w:t>численность СВФА на 1 января года, следующего за отчетным (кол-во должностных лиц)</w:t>
            </w:r>
          </w:p>
        </w:tc>
        <w:tc>
          <w:tcPr>
            <w:tcW w:w="2977"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численность подразделений, осуществлявших внутренний финансовый аудит на 1 января года, следующего за отчетным</w:t>
            </w:r>
          </w:p>
        </w:tc>
        <w:tc>
          <w:tcPr>
            <w:tcW w:w="1134" w:type="dxa"/>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4897" w:type="dxa"/>
            <w:gridSpan w:val="3"/>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r>
      <w:tr w:rsidR="00A87E99" w:rsidRPr="001E2DAF" w:rsidTr="00A87E99">
        <w:tc>
          <w:tcPr>
            <w:tcW w:w="2235" w:type="dxa"/>
            <w:gridSpan w:val="2"/>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штатная</w:t>
            </w:r>
          </w:p>
        </w:tc>
        <w:tc>
          <w:tcPr>
            <w:tcW w:w="708" w:type="dxa"/>
            <w:vMerge w:val="restart"/>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фактическая</w:t>
            </w:r>
          </w:p>
        </w:tc>
        <w:tc>
          <w:tcPr>
            <w:tcW w:w="2410" w:type="dxa"/>
            <w:gridSpan w:val="2"/>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штатная</w:t>
            </w:r>
          </w:p>
        </w:tc>
        <w:tc>
          <w:tcPr>
            <w:tcW w:w="425" w:type="dxa"/>
            <w:vMerge w:val="restart"/>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фактическая</w:t>
            </w:r>
          </w:p>
        </w:tc>
        <w:tc>
          <w:tcPr>
            <w:tcW w:w="1985" w:type="dxa"/>
            <w:gridSpan w:val="2"/>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штатная</w:t>
            </w:r>
          </w:p>
        </w:tc>
        <w:tc>
          <w:tcPr>
            <w:tcW w:w="992" w:type="dxa"/>
            <w:vMerge w:val="restart"/>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фактическая</w:t>
            </w:r>
          </w:p>
        </w:tc>
        <w:tc>
          <w:tcPr>
            <w:tcW w:w="1134" w:type="dxa"/>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4897" w:type="dxa"/>
            <w:gridSpan w:val="3"/>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A87E99">
              <w:rPr>
                <w:rFonts w:ascii="Times New Roman" w:eastAsia="Yu Mincho Light" w:hAnsi="Times New Roman" w:cs="Times New Roman"/>
                <w:bCs/>
                <w:color w:val="000000" w:themeColor="text1"/>
                <w:sz w:val="24"/>
                <w:szCs w:val="24"/>
              </w:rPr>
              <w:t>численность сотрудников СВФА, в т.ч.:</w:t>
            </w:r>
          </w:p>
        </w:tc>
      </w:tr>
      <w:tr w:rsidR="00A87E99" w:rsidRPr="001E2DAF" w:rsidTr="00C73FA5">
        <w:trPr>
          <w:cantSplit/>
          <w:trHeight w:val="2484"/>
        </w:trPr>
        <w:tc>
          <w:tcPr>
            <w:tcW w:w="817"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абсолютном значении</w:t>
            </w:r>
          </w:p>
        </w:tc>
        <w:tc>
          <w:tcPr>
            <w:tcW w:w="1418"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 к предельной штатной численности центрального аппарата</w:t>
            </w:r>
          </w:p>
        </w:tc>
        <w:tc>
          <w:tcPr>
            <w:tcW w:w="708" w:type="dxa"/>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993"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абсолютном значении</w:t>
            </w:r>
          </w:p>
        </w:tc>
        <w:tc>
          <w:tcPr>
            <w:tcW w:w="1417"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 к предельной штатной численности центрального аппарата</w:t>
            </w:r>
          </w:p>
        </w:tc>
        <w:tc>
          <w:tcPr>
            <w:tcW w:w="425" w:type="dxa"/>
            <w:vMerge/>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p>
        </w:tc>
        <w:tc>
          <w:tcPr>
            <w:tcW w:w="709"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абсолютном значении</w:t>
            </w:r>
          </w:p>
        </w:tc>
        <w:tc>
          <w:tcPr>
            <w:tcW w:w="1276" w:type="dxa"/>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r w:rsidRPr="001E2DAF">
              <w:rPr>
                <w:rFonts w:ascii="Times New Roman" w:eastAsia="Yu Mincho Light" w:hAnsi="Times New Roman" w:cs="Times New Roman"/>
                <w:bCs/>
                <w:color w:val="000000" w:themeColor="text1"/>
                <w:sz w:val="24"/>
                <w:szCs w:val="24"/>
              </w:rPr>
              <w:t>в % к предельной штатной численности центрального аппарата</w:t>
            </w:r>
          </w:p>
        </w:tc>
        <w:tc>
          <w:tcPr>
            <w:tcW w:w="992" w:type="dxa"/>
            <w:vMerge/>
            <w:textDirection w:val="btLr"/>
          </w:tcPr>
          <w:p w:rsidR="00A87E99" w:rsidRPr="001E2DAF" w:rsidRDefault="00A87E99" w:rsidP="0000539A">
            <w:pPr>
              <w:pStyle w:val="a8"/>
              <w:tabs>
                <w:tab w:val="left" w:pos="0"/>
                <w:tab w:val="left" w:pos="1134"/>
              </w:tabs>
              <w:ind w:left="113" w:right="113"/>
              <w:jc w:val="center"/>
              <w:rPr>
                <w:rFonts w:ascii="Times New Roman" w:eastAsia="Yu Mincho Light" w:hAnsi="Times New Roman" w:cs="Times New Roman"/>
                <w:bCs/>
                <w:color w:val="000000" w:themeColor="text1"/>
                <w:sz w:val="24"/>
                <w:szCs w:val="24"/>
              </w:rPr>
            </w:pPr>
          </w:p>
        </w:tc>
        <w:tc>
          <w:tcPr>
            <w:tcW w:w="1134" w:type="dxa"/>
            <w:vMerge/>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701" w:type="dxa"/>
          </w:tcPr>
          <w:p w:rsidR="00A87E99" w:rsidRPr="001E2DAF" w:rsidRDefault="00A87E99"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A87E99">
              <w:rPr>
                <w:rFonts w:ascii="Times New Roman" w:eastAsia="Yu Mincho Light" w:hAnsi="Times New Roman" w:cs="Times New Roman"/>
                <w:bCs/>
                <w:color w:val="000000" w:themeColor="text1"/>
                <w:sz w:val="24"/>
                <w:szCs w:val="24"/>
              </w:rPr>
              <w:t>имеющих дипломы кандидата, доктора э.н., ю.н</w:t>
            </w:r>
          </w:p>
        </w:tc>
        <w:tc>
          <w:tcPr>
            <w:tcW w:w="1701" w:type="dxa"/>
          </w:tcPr>
          <w:p w:rsidR="00A87E99" w:rsidRPr="001E2DAF" w:rsidRDefault="00C73FA5"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C73FA5">
              <w:rPr>
                <w:rFonts w:ascii="Times New Roman" w:eastAsia="Yu Mincho Light" w:hAnsi="Times New Roman" w:cs="Times New Roman"/>
                <w:bCs/>
                <w:color w:val="000000" w:themeColor="text1"/>
                <w:sz w:val="24"/>
                <w:szCs w:val="24"/>
              </w:rPr>
              <w:t>имеющих дипломы высшего профобразо</w:t>
            </w:r>
            <w:r w:rsidR="006E1768">
              <w:rPr>
                <w:rFonts w:ascii="Times New Roman" w:eastAsia="Yu Mincho Light" w:hAnsi="Times New Roman" w:cs="Times New Roman"/>
                <w:bCs/>
                <w:color w:val="000000" w:themeColor="text1"/>
                <w:sz w:val="24"/>
                <w:szCs w:val="24"/>
              </w:rPr>
              <w:t>-</w:t>
            </w:r>
            <w:r w:rsidRPr="00C73FA5">
              <w:rPr>
                <w:rFonts w:ascii="Times New Roman" w:eastAsia="Yu Mincho Light" w:hAnsi="Times New Roman" w:cs="Times New Roman"/>
                <w:bCs/>
                <w:color w:val="000000" w:themeColor="text1"/>
                <w:sz w:val="24"/>
                <w:szCs w:val="24"/>
              </w:rPr>
              <w:t>вания по эконом. направлениям подготовки</w:t>
            </w:r>
          </w:p>
        </w:tc>
        <w:tc>
          <w:tcPr>
            <w:tcW w:w="1495" w:type="dxa"/>
          </w:tcPr>
          <w:p w:rsidR="00A87E99" w:rsidRPr="001E2DAF" w:rsidRDefault="00C73FA5"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sidRPr="00C73FA5">
              <w:rPr>
                <w:rFonts w:ascii="Times New Roman" w:eastAsia="Yu Mincho Light" w:hAnsi="Times New Roman" w:cs="Times New Roman"/>
                <w:bCs/>
                <w:color w:val="000000" w:themeColor="text1"/>
                <w:sz w:val="24"/>
                <w:szCs w:val="24"/>
              </w:rPr>
              <w:t>в возрасте до 35 лет, имеющих стаж работы в подразделе</w:t>
            </w:r>
            <w:r w:rsidR="006E1768">
              <w:rPr>
                <w:rFonts w:ascii="Times New Roman" w:eastAsia="Yu Mincho Light" w:hAnsi="Times New Roman" w:cs="Times New Roman"/>
                <w:bCs/>
                <w:color w:val="000000" w:themeColor="text1"/>
                <w:sz w:val="24"/>
                <w:szCs w:val="24"/>
              </w:rPr>
              <w:t>-</w:t>
            </w:r>
            <w:r w:rsidRPr="00C73FA5">
              <w:rPr>
                <w:rFonts w:ascii="Times New Roman" w:eastAsia="Yu Mincho Light" w:hAnsi="Times New Roman" w:cs="Times New Roman"/>
                <w:bCs/>
                <w:color w:val="000000" w:themeColor="text1"/>
                <w:sz w:val="24"/>
                <w:szCs w:val="24"/>
              </w:rPr>
              <w:t>нии более трех лет</w:t>
            </w:r>
          </w:p>
        </w:tc>
      </w:tr>
      <w:tr w:rsidR="006E1768" w:rsidRPr="001E2DAF" w:rsidTr="00DF35DF">
        <w:trPr>
          <w:cantSplit/>
          <w:trHeight w:val="415"/>
        </w:trPr>
        <w:tc>
          <w:tcPr>
            <w:tcW w:w="817"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1</w:t>
            </w:r>
          </w:p>
        </w:tc>
        <w:tc>
          <w:tcPr>
            <w:tcW w:w="1418"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2</w:t>
            </w:r>
          </w:p>
        </w:tc>
        <w:tc>
          <w:tcPr>
            <w:tcW w:w="708"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3</w:t>
            </w:r>
          </w:p>
        </w:tc>
        <w:tc>
          <w:tcPr>
            <w:tcW w:w="993"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4</w:t>
            </w:r>
          </w:p>
        </w:tc>
        <w:tc>
          <w:tcPr>
            <w:tcW w:w="1417"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5</w:t>
            </w:r>
          </w:p>
        </w:tc>
        <w:tc>
          <w:tcPr>
            <w:tcW w:w="425"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6</w:t>
            </w:r>
          </w:p>
        </w:tc>
        <w:tc>
          <w:tcPr>
            <w:tcW w:w="709"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7</w:t>
            </w:r>
          </w:p>
        </w:tc>
        <w:tc>
          <w:tcPr>
            <w:tcW w:w="1276"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8</w:t>
            </w:r>
          </w:p>
        </w:tc>
        <w:tc>
          <w:tcPr>
            <w:tcW w:w="992"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9</w:t>
            </w:r>
          </w:p>
        </w:tc>
        <w:tc>
          <w:tcPr>
            <w:tcW w:w="1134" w:type="dxa"/>
          </w:tcPr>
          <w:p w:rsidR="006E1768" w:rsidRPr="001E2DAF"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10</w:t>
            </w:r>
          </w:p>
        </w:tc>
        <w:tc>
          <w:tcPr>
            <w:tcW w:w="1701" w:type="dxa"/>
          </w:tcPr>
          <w:p w:rsidR="006E1768" w:rsidRPr="00A87E99"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11</w:t>
            </w:r>
          </w:p>
        </w:tc>
        <w:tc>
          <w:tcPr>
            <w:tcW w:w="1701" w:type="dxa"/>
          </w:tcPr>
          <w:p w:rsidR="006E1768" w:rsidRPr="00C73FA5"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12</w:t>
            </w:r>
          </w:p>
        </w:tc>
        <w:tc>
          <w:tcPr>
            <w:tcW w:w="1495" w:type="dxa"/>
          </w:tcPr>
          <w:p w:rsidR="006E1768" w:rsidRPr="00C73FA5" w:rsidRDefault="00DF35DF"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r>
              <w:rPr>
                <w:rFonts w:ascii="Times New Roman" w:eastAsia="Yu Mincho Light" w:hAnsi="Times New Roman" w:cs="Times New Roman"/>
                <w:bCs/>
                <w:color w:val="000000" w:themeColor="text1"/>
                <w:sz w:val="24"/>
                <w:szCs w:val="24"/>
              </w:rPr>
              <w:t>13</w:t>
            </w:r>
          </w:p>
        </w:tc>
      </w:tr>
      <w:tr w:rsidR="00F24568" w:rsidRPr="001E2DAF" w:rsidTr="00DF35DF">
        <w:trPr>
          <w:cantSplit/>
          <w:trHeight w:val="415"/>
        </w:trPr>
        <w:tc>
          <w:tcPr>
            <w:tcW w:w="817"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418"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708"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993"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417"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425"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709"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276"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992"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134"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701"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701"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c>
          <w:tcPr>
            <w:tcW w:w="1495" w:type="dxa"/>
          </w:tcPr>
          <w:p w:rsidR="00F24568" w:rsidRDefault="00F24568" w:rsidP="0000539A">
            <w:pPr>
              <w:pStyle w:val="a8"/>
              <w:tabs>
                <w:tab w:val="left" w:pos="0"/>
                <w:tab w:val="left" w:pos="1134"/>
              </w:tabs>
              <w:ind w:left="0"/>
              <w:jc w:val="center"/>
              <w:rPr>
                <w:rFonts w:ascii="Times New Roman" w:eastAsia="Yu Mincho Light" w:hAnsi="Times New Roman" w:cs="Times New Roman"/>
                <w:bCs/>
                <w:color w:val="000000" w:themeColor="text1"/>
                <w:sz w:val="24"/>
                <w:szCs w:val="24"/>
              </w:rPr>
            </w:pPr>
          </w:p>
        </w:tc>
      </w:tr>
    </w:tbl>
    <w:p w:rsidR="00AB23CF" w:rsidRPr="006A3148" w:rsidRDefault="00AB23CF" w:rsidP="00AE7128">
      <w:pPr>
        <w:pStyle w:val="a8"/>
        <w:tabs>
          <w:tab w:val="left" w:pos="0"/>
          <w:tab w:val="left" w:pos="1134"/>
        </w:tabs>
        <w:spacing w:after="0"/>
        <w:ind w:left="0" w:firstLine="426"/>
        <w:jc w:val="center"/>
        <w:outlineLvl w:val="0"/>
        <w:rPr>
          <w:rFonts w:ascii="Times New Roman" w:eastAsiaTheme="majorEastAsia" w:hAnsi="Times New Roman" w:cs="Times New Roman"/>
          <w:bCs/>
          <w:color w:val="000000" w:themeColor="text1"/>
          <w:sz w:val="28"/>
          <w:szCs w:val="28"/>
        </w:rPr>
      </w:pPr>
    </w:p>
    <w:sectPr w:rsidR="00AB23CF" w:rsidRPr="006A3148" w:rsidSect="0099742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24D" w:rsidRDefault="0034024D" w:rsidP="0045547F">
      <w:pPr>
        <w:spacing w:after="0" w:line="240" w:lineRule="auto"/>
      </w:pPr>
      <w:r>
        <w:separator/>
      </w:r>
    </w:p>
  </w:endnote>
  <w:endnote w:type="continuationSeparator" w:id="0">
    <w:p w:rsidR="0034024D" w:rsidRDefault="0034024D" w:rsidP="0045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u Mincho Light">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251145"/>
      <w:docPartObj>
        <w:docPartGallery w:val="Page Numbers (Bottom of Page)"/>
        <w:docPartUnique/>
      </w:docPartObj>
    </w:sdtPr>
    <w:sdtEndPr/>
    <w:sdtContent>
      <w:p w:rsidR="00D26AF2" w:rsidRDefault="00FB1C5E">
        <w:pPr>
          <w:pStyle w:val="ac"/>
          <w:jc w:val="right"/>
        </w:pPr>
        <w:r>
          <w:fldChar w:fldCharType="begin"/>
        </w:r>
        <w:r>
          <w:instrText xml:space="preserve"> PAGE   \* MERGEFORMAT </w:instrText>
        </w:r>
        <w:r>
          <w:fldChar w:fldCharType="separate"/>
        </w:r>
        <w:r w:rsidR="003D2D3C">
          <w:rPr>
            <w:noProof/>
          </w:rPr>
          <w:t>3</w:t>
        </w:r>
        <w:r>
          <w:rPr>
            <w:noProof/>
          </w:rPr>
          <w:fldChar w:fldCharType="end"/>
        </w:r>
      </w:p>
    </w:sdtContent>
  </w:sdt>
  <w:p w:rsidR="00D26AF2" w:rsidRDefault="00D26AF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24D" w:rsidRDefault="0034024D" w:rsidP="0045547F">
      <w:pPr>
        <w:spacing w:after="0" w:line="240" w:lineRule="auto"/>
      </w:pPr>
      <w:r>
        <w:separator/>
      </w:r>
    </w:p>
  </w:footnote>
  <w:footnote w:type="continuationSeparator" w:id="0">
    <w:p w:rsidR="0034024D" w:rsidRDefault="0034024D" w:rsidP="0045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448099"/>
      <w:docPartObj>
        <w:docPartGallery w:val="Page Numbers (Top of Page)"/>
        <w:docPartUnique/>
      </w:docPartObj>
    </w:sdtPr>
    <w:sdtEndPr/>
    <w:sdtContent>
      <w:p w:rsidR="000A60E5" w:rsidRDefault="000A60E5">
        <w:pPr>
          <w:pStyle w:val="aa"/>
          <w:jc w:val="center"/>
        </w:pPr>
        <w:r>
          <w:fldChar w:fldCharType="begin"/>
        </w:r>
        <w:r>
          <w:instrText>PAGE   \* MERGEFORMAT</w:instrText>
        </w:r>
        <w:r>
          <w:fldChar w:fldCharType="separate"/>
        </w:r>
        <w:r w:rsidR="003D2D3C">
          <w:rPr>
            <w:noProof/>
          </w:rPr>
          <w:t>3</w:t>
        </w:r>
        <w:r>
          <w:fldChar w:fldCharType="end"/>
        </w:r>
      </w:p>
    </w:sdtContent>
  </w:sdt>
  <w:p w:rsidR="000A60E5" w:rsidRDefault="000A60E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76C"/>
    <w:multiLevelType w:val="hybridMultilevel"/>
    <w:tmpl w:val="61B6DA5C"/>
    <w:lvl w:ilvl="0" w:tplc="76F8806C">
      <w:start w:val="1"/>
      <w:numFmt w:val="decimal"/>
      <w:lvlText w:val="5.%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6086B"/>
    <w:multiLevelType w:val="hybridMultilevel"/>
    <w:tmpl w:val="3F8E919E"/>
    <w:lvl w:ilvl="0" w:tplc="B30C57C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22F7312"/>
    <w:multiLevelType w:val="hybridMultilevel"/>
    <w:tmpl w:val="7348F858"/>
    <w:lvl w:ilvl="0" w:tplc="90EE5EC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8252A29"/>
    <w:multiLevelType w:val="multilevel"/>
    <w:tmpl w:val="72000078"/>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15:restartNumberingAfterBreak="0">
    <w:nsid w:val="6F0141EB"/>
    <w:multiLevelType w:val="hybridMultilevel"/>
    <w:tmpl w:val="52A26E66"/>
    <w:lvl w:ilvl="0" w:tplc="6688F83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132336"/>
    <w:multiLevelType w:val="hybridMultilevel"/>
    <w:tmpl w:val="17DA8F8C"/>
    <w:lvl w:ilvl="0" w:tplc="210AF942">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9CB353B"/>
    <w:multiLevelType w:val="hybridMultilevel"/>
    <w:tmpl w:val="A9F225C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3B"/>
    <w:rsid w:val="000029B7"/>
    <w:rsid w:val="0000539A"/>
    <w:rsid w:val="000118CF"/>
    <w:rsid w:val="0002562C"/>
    <w:rsid w:val="00025E66"/>
    <w:rsid w:val="00040F2E"/>
    <w:rsid w:val="000631B7"/>
    <w:rsid w:val="00082517"/>
    <w:rsid w:val="000A60E5"/>
    <w:rsid w:val="000C067F"/>
    <w:rsid w:val="000C5A38"/>
    <w:rsid w:val="000D0E9F"/>
    <w:rsid w:val="000D18C3"/>
    <w:rsid w:val="0010772F"/>
    <w:rsid w:val="00112D65"/>
    <w:rsid w:val="0012037F"/>
    <w:rsid w:val="00142571"/>
    <w:rsid w:val="0017590C"/>
    <w:rsid w:val="0017629A"/>
    <w:rsid w:val="00177361"/>
    <w:rsid w:val="0018683B"/>
    <w:rsid w:val="00192F40"/>
    <w:rsid w:val="00194E40"/>
    <w:rsid w:val="001A7782"/>
    <w:rsid w:val="001A7996"/>
    <w:rsid w:val="001B09BD"/>
    <w:rsid w:val="001B18A9"/>
    <w:rsid w:val="001C43FD"/>
    <w:rsid w:val="001E0CBE"/>
    <w:rsid w:val="001E2DAF"/>
    <w:rsid w:val="00201AFE"/>
    <w:rsid w:val="00215A34"/>
    <w:rsid w:val="00223FBD"/>
    <w:rsid w:val="00225A8D"/>
    <w:rsid w:val="00227CA3"/>
    <w:rsid w:val="002319E9"/>
    <w:rsid w:val="00233BF0"/>
    <w:rsid w:val="002352D0"/>
    <w:rsid w:val="002447A5"/>
    <w:rsid w:val="00246B44"/>
    <w:rsid w:val="00252729"/>
    <w:rsid w:val="00261D01"/>
    <w:rsid w:val="00264BC5"/>
    <w:rsid w:val="00266501"/>
    <w:rsid w:val="00271BD1"/>
    <w:rsid w:val="00283C2F"/>
    <w:rsid w:val="00297F80"/>
    <w:rsid w:val="002B7A57"/>
    <w:rsid w:val="002C20C3"/>
    <w:rsid w:val="002C3753"/>
    <w:rsid w:val="002D0F1D"/>
    <w:rsid w:val="002D75E7"/>
    <w:rsid w:val="002E60E5"/>
    <w:rsid w:val="003038F1"/>
    <w:rsid w:val="00312BBE"/>
    <w:rsid w:val="00326A09"/>
    <w:rsid w:val="0034024D"/>
    <w:rsid w:val="00353467"/>
    <w:rsid w:val="00353BB5"/>
    <w:rsid w:val="00380470"/>
    <w:rsid w:val="00386404"/>
    <w:rsid w:val="003964E1"/>
    <w:rsid w:val="003A10A1"/>
    <w:rsid w:val="003B2166"/>
    <w:rsid w:val="003D2D3C"/>
    <w:rsid w:val="003D497B"/>
    <w:rsid w:val="003F0B54"/>
    <w:rsid w:val="00401B68"/>
    <w:rsid w:val="00413C5E"/>
    <w:rsid w:val="004219E7"/>
    <w:rsid w:val="00422C38"/>
    <w:rsid w:val="00433653"/>
    <w:rsid w:val="0045547F"/>
    <w:rsid w:val="00462565"/>
    <w:rsid w:val="00463B3C"/>
    <w:rsid w:val="004777AE"/>
    <w:rsid w:val="00480F62"/>
    <w:rsid w:val="00482D46"/>
    <w:rsid w:val="00487F03"/>
    <w:rsid w:val="00491C8C"/>
    <w:rsid w:val="004B2C33"/>
    <w:rsid w:val="004D2F41"/>
    <w:rsid w:val="004D7D5B"/>
    <w:rsid w:val="00501B42"/>
    <w:rsid w:val="005112D4"/>
    <w:rsid w:val="00511526"/>
    <w:rsid w:val="0051411A"/>
    <w:rsid w:val="0051618A"/>
    <w:rsid w:val="00534D0D"/>
    <w:rsid w:val="005422D5"/>
    <w:rsid w:val="00571721"/>
    <w:rsid w:val="00573192"/>
    <w:rsid w:val="005848AA"/>
    <w:rsid w:val="0059389B"/>
    <w:rsid w:val="005C6A46"/>
    <w:rsid w:val="00602345"/>
    <w:rsid w:val="00625746"/>
    <w:rsid w:val="006571D9"/>
    <w:rsid w:val="00662F06"/>
    <w:rsid w:val="00672DF4"/>
    <w:rsid w:val="006A3148"/>
    <w:rsid w:val="006A4E48"/>
    <w:rsid w:val="006B77F5"/>
    <w:rsid w:val="006C2948"/>
    <w:rsid w:val="006C4654"/>
    <w:rsid w:val="006E1768"/>
    <w:rsid w:val="006F551E"/>
    <w:rsid w:val="00715B98"/>
    <w:rsid w:val="0071700D"/>
    <w:rsid w:val="00723F2B"/>
    <w:rsid w:val="00726B4F"/>
    <w:rsid w:val="007426BA"/>
    <w:rsid w:val="007462F8"/>
    <w:rsid w:val="00762DED"/>
    <w:rsid w:val="00777E9A"/>
    <w:rsid w:val="007A3C60"/>
    <w:rsid w:val="007C1750"/>
    <w:rsid w:val="007C742E"/>
    <w:rsid w:val="007D6D97"/>
    <w:rsid w:val="007D787A"/>
    <w:rsid w:val="007F742F"/>
    <w:rsid w:val="00803F2F"/>
    <w:rsid w:val="00811E03"/>
    <w:rsid w:val="0086080C"/>
    <w:rsid w:val="00880AF8"/>
    <w:rsid w:val="008927A0"/>
    <w:rsid w:val="008927B8"/>
    <w:rsid w:val="008C3CBB"/>
    <w:rsid w:val="008D1724"/>
    <w:rsid w:val="008D5423"/>
    <w:rsid w:val="008D6FC6"/>
    <w:rsid w:val="009007AA"/>
    <w:rsid w:val="00901EC4"/>
    <w:rsid w:val="00910CB2"/>
    <w:rsid w:val="00923D38"/>
    <w:rsid w:val="00931656"/>
    <w:rsid w:val="00935D2F"/>
    <w:rsid w:val="00960953"/>
    <w:rsid w:val="009727B6"/>
    <w:rsid w:val="009953BA"/>
    <w:rsid w:val="00997428"/>
    <w:rsid w:val="009974C5"/>
    <w:rsid w:val="009A6A54"/>
    <w:rsid w:val="009B01ED"/>
    <w:rsid w:val="009B1717"/>
    <w:rsid w:val="009E3916"/>
    <w:rsid w:val="009F6916"/>
    <w:rsid w:val="00A0656B"/>
    <w:rsid w:val="00A20646"/>
    <w:rsid w:val="00A352B5"/>
    <w:rsid w:val="00A526EC"/>
    <w:rsid w:val="00A62847"/>
    <w:rsid w:val="00A7453A"/>
    <w:rsid w:val="00A762C6"/>
    <w:rsid w:val="00A76BF3"/>
    <w:rsid w:val="00A81FE1"/>
    <w:rsid w:val="00A83578"/>
    <w:rsid w:val="00A87E99"/>
    <w:rsid w:val="00AA144C"/>
    <w:rsid w:val="00AB23CF"/>
    <w:rsid w:val="00AC4664"/>
    <w:rsid w:val="00AD2B9D"/>
    <w:rsid w:val="00AE21E2"/>
    <w:rsid w:val="00AE6502"/>
    <w:rsid w:val="00AE7128"/>
    <w:rsid w:val="00AF7624"/>
    <w:rsid w:val="00B05A05"/>
    <w:rsid w:val="00B07ADA"/>
    <w:rsid w:val="00B32705"/>
    <w:rsid w:val="00B41479"/>
    <w:rsid w:val="00B636AF"/>
    <w:rsid w:val="00B7227A"/>
    <w:rsid w:val="00B768EF"/>
    <w:rsid w:val="00BA0DF2"/>
    <w:rsid w:val="00BA3098"/>
    <w:rsid w:val="00BB19F7"/>
    <w:rsid w:val="00BC237D"/>
    <w:rsid w:val="00BC615C"/>
    <w:rsid w:val="00BD5EAB"/>
    <w:rsid w:val="00C007E7"/>
    <w:rsid w:val="00C07581"/>
    <w:rsid w:val="00C139F0"/>
    <w:rsid w:val="00C545F5"/>
    <w:rsid w:val="00C61824"/>
    <w:rsid w:val="00C626E0"/>
    <w:rsid w:val="00C64C1C"/>
    <w:rsid w:val="00C73FA5"/>
    <w:rsid w:val="00C818B5"/>
    <w:rsid w:val="00C8456F"/>
    <w:rsid w:val="00C96F6D"/>
    <w:rsid w:val="00CA4B33"/>
    <w:rsid w:val="00CB14C0"/>
    <w:rsid w:val="00CB309D"/>
    <w:rsid w:val="00CC20F3"/>
    <w:rsid w:val="00CE17B2"/>
    <w:rsid w:val="00CF0E7C"/>
    <w:rsid w:val="00D02BC3"/>
    <w:rsid w:val="00D11CE2"/>
    <w:rsid w:val="00D13683"/>
    <w:rsid w:val="00D26AF2"/>
    <w:rsid w:val="00D420CE"/>
    <w:rsid w:val="00D43D84"/>
    <w:rsid w:val="00D51379"/>
    <w:rsid w:val="00DB408C"/>
    <w:rsid w:val="00DC41FB"/>
    <w:rsid w:val="00DD24C4"/>
    <w:rsid w:val="00DF35DF"/>
    <w:rsid w:val="00E027D5"/>
    <w:rsid w:val="00E04423"/>
    <w:rsid w:val="00E04DAD"/>
    <w:rsid w:val="00E05972"/>
    <w:rsid w:val="00E125B6"/>
    <w:rsid w:val="00E143C4"/>
    <w:rsid w:val="00E2707B"/>
    <w:rsid w:val="00E4493A"/>
    <w:rsid w:val="00E85F73"/>
    <w:rsid w:val="00E960B7"/>
    <w:rsid w:val="00EA4C41"/>
    <w:rsid w:val="00EC6900"/>
    <w:rsid w:val="00EF514C"/>
    <w:rsid w:val="00F11AE5"/>
    <w:rsid w:val="00F124A2"/>
    <w:rsid w:val="00F125F2"/>
    <w:rsid w:val="00F13C88"/>
    <w:rsid w:val="00F15A57"/>
    <w:rsid w:val="00F24568"/>
    <w:rsid w:val="00F25D93"/>
    <w:rsid w:val="00F429A0"/>
    <w:rsid w:val="00F44577"/>
    <w:rsid w:val="00F5696B"/>
    <w:rsid w:val="00F675D4"/>
    <w:rsid w:val="00F71188"/>
    <w:rsid w:val="00F731B5"/>
    <w:rsid w:val="00F7444A"/>
    <w:rsid w:val="00FB05DA"/>
    <w:rsid w:val="00FB1C5E"/>
    <w:rsid w:val="00FB79D9"/>
    <w:rsid w:val="00FC286B"/>
    <w:rsid w:val="00FD1201"/>
    <w:rsid w:val="00FD2C74"/>
    <w:rsid w:val="00FD2FF2"/>
    <w:rsid w:val="00FD6800"/>
    <w:rsid w:val="00FE1B57"/>
    <w:rsid w:val="00FF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8013"/>
  <w15:docId w15:val="{2350D37D-BF94-45BA-9F72-2FEBB1DE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B7"/>
  </w:style>
  <w:style w:type="paragraph" w:styleId="1">
    <w:name w:val="heading 1"/>
    <w:basedOn w:val="a"/>
    <w:next w:val="a"/>
    <w:link w:val="10"/>
    <w:uiPriority w:val="9"/>
    <w:qFormat/>
    <w:rsid w:val="002D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D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next w:val="1"/>
    <w:link w:val="a4"/>
    <w:qFormat/>
    <w:rsid w:val="002D0F1D"/>
    <w:pPr>
      <w:keepNext/>
      <w:keepLines/>
      <w:widowControl w:val="0"/>
      <w:spacing w:before="200" w:after="0" w:line="360" w:lineRule="auto"/>
      <w:jc w:val="center"/>
      <w:outlineLvl w:val="2"/>
    </w:pPr>
    <w:rPr>
      <w:rFonts w:asciiTheme="majorHAnsi" w:eastAsiaTheme="majorEastAsia" w:hAnsiTheme="majorHAnsi" w:cstheme="majorBidi"/>
      <w:b/>
      <w:bCs/>
      <w:sz w:val="28"/>
      <w:szCs w:val="24"/>
      <w:lang w:eastAsia="ru-RU"/>
    </w:rPr>
  </w:style>
  <w:style w:type="character" w:customStyle="1" w:styleId="10">
    <w:name w:val="Заголовок 1 Знак"/>
    <w:basedOn w:val="a0"/>
    <w:link w:val="1"/>
    <w:uiPriority w:val="9"/>
    <w:rsid w:val="002D0F1D"/>
    <w:rPr>
      <w:rFonts w:asciiTheme="majorHAnsi" w:eastAsiaTheme="majorEastAsia" w:hAnsiTheme="majorHAnsi" w:cstheme="majorBidi"/>
      <w:b/>
      <w:bCs/>
      <w:color w:val="365F91" w:themeColor="accent1" w:themeShade="BF"/>
      <w:sz w:val="28"/>
      <w:szCs w:val="28"/>
    </w:rPr>
  </w:style>
  <w:style w:type="character" w:customStyle="1" w:styleId="a4">
    <w:name w:val="ЗАГ Знак"/>
    <w:basedOn w:val="30"/>
    <w:link w:val="a3"/>
    <w:rsid w:val="002D0F1D"/>
    <w:rPr>
      <w:rFonts w:asciiTheme="majorHAnsi" w:eastAsiaTheme="majorEastAsia" w:hAnsiTheme="majorHAnsi" w:cstheme="majorBidi"/>
      <w:b/>
      <w:bCs/>
      <w:color w:val="4F81BD" w:themeColor="accent1"/>
      <w:sz w:val="28"/>
      <w:szCs w:val="24"/>
      <w:lang w:eastAsia="ru-RU"/>
    </w:rPr>
  </w:style>
  <w:style w:type="character" w:customStyle="1" w:styleId="30">
    <w:name w:val="Заголовок 3 Знак"/>
    <w:basedOn w:val="a0"/>
    <w:link w:val="3"/>
    <w:uiPriority w:val="9"/>
    <w:semiHidden/>
    <w:rsid w:val="002D0F1D"/>
    <w:rPr>
      <w:rFonts w:asciiTheme="majorHAnsi" w:eastAsiaTheme="majorEastAsia" w:hAnsiTheme="majorHAnsi" w:cstheme="majorBidi"/>
      <w:b/>
      <w:bCs/>
      <w:color w:val="4F81BD" w:themeColor="accent1"/>
    </w:rPr>
  </w:style>
  <w:style w:type="paragraph" w:styleId="a5">
    <w:name w:val="TOC Heading"/>
    <w:basedOn w:val="1"/>
    <w:next w:val="a"/>
    <w:uiPriority w:val="39"/>
    <w:semiHidden/>
    <w:unhideWhenUsed/>
    <w:qFormat/>
    <w:rsid w:val="00CE17B2"/>
    <w:pPr>
      <w:outlineLvl w:val="9"/>
    </w:pPr>
  </w:style>
  <w:style w:type="paragraph" w:styleId="a6">
    <w:name w:val="Balloon Text"/>
    <w:basedOn w:val="a"/>
    <w:link w:val="a7"/>
    <w:uiPriority w:val="99"/>
    <w:semiHidden/>
    <w:unhideWhenUsed/>
    <w:rsid w:val="00CE17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7B2"/>
    <w:rPr>
      <w:rFonts w:ascii="Tahoma" w:hAnsi="Tahoma" w:cs="Tahoma"/>
      <w:sz w:val="16"/>
      <w:szCs w:val="16"/>
    </w:rPr>
  </w:style>
  <w:style w:type="paragraph" w:styleId="a8">
    <w:name w:val="List Paragraph"/>
    <w:basedOn w:val="a"/>
    <w:uiPriority w:val="34"/>
    <w:qFormat/>
    <w:rsid w:val="00EA4C41"/>
    <w:pPr>
      <w:ind w:left="720"/>
      <w:contextualSpacing/>
    </w:pPr>
  </w:style>
  <w:style w:type="paragraph" w:styleId="11">
    <w:name w:val="toc 1"/>
    <w:basedOn w:val="a"/>
    <w:next w:val="a"/>
    <w:autoRedefine/>
    <w:uiPriority w:val="39"/>
    <w:unhideWhenUsed/>
    <w:qFormat/>
    <w:rsid w:val="00266501"/>
    <w:pPr>
      <w:spacing w:after="100"/>
    </w:pPr>
  </w:style>
  <w:style w:type="character" w:styleId="a9">
    <w:name w:val="Hyperlink"/>
    <w:basedOn w:val="a0"/>
    <w:uiPriority w:val="99"/>
    <w:unhideWhenUsed/>
    <w:rsid w:val="00266501"/>
    <w:rPr>
      <w:color w:val="0000FF" w:themeColor="hyperlink"/>
      <w:u w:val="single"/>
    </w:rPr>
  </w:style>
  <w:style w:type="paragraph" w:styleId="aa">
    <w:name w:val="header"/>
    <w:basedOn w:val="a"/>
    <w:link w:val="ab"/>
    <w:uiPriority w:val="99"/>
    <w:unhideWhenUsed/>
    <w:rsid w:val="00455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547F"/>
  </w:style>
  <w:style w:type="paragraph" w:styleId="ac">
    <w:name w:val="footer"/>
    <w:basedOn w:val="a"/>
    <w:link w:val="ad"/>
    <w:uiPriority w:val="99"/>
    <w:unhideWhenUsed/>
    <w:rsid w:val="00455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547F"/>
  </w:style>
  <w:style w:type="table" w:styleId="ae">
    <w:name w:val="Table Grid"/>
    <w:basedOn w:val="a1"/>
    <w:uiPriority w:val="59"/>
    <w:rsid w:val="00AE7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toc 2"/>
    <w:basedOn w:val="a"/>
    <w:next w:val="a"/>
    <w:autoRedefine/>
    <w:uiPriority w:val="39"/>
    <w:semiHidden/>
    <w:unhideWhenUsed/>
    <w:qFormat/>
    <w:rsid w:val="00726B4F"/>
    <w:pPr>
      <w:spacing w:after="100"/>
      <w:ind w:left="220"/>
    </w:pPr>
    <w:rPr>
      <w:rFonts w:eastAsiaTheme="minorEastAsia"/>
    </w:rPr>
  </w:style>
  <w:style w:type="paragraph" w:styleId="31">
    <w:name w:val="toc 3"/>
    <w:basedOn w:val="a"/>
    <w:next w:val="a"/>
    <w:autoRedefine/>
    <w:uiPriority w:val="39"/>
    <w:semiHidden/>
    <w:unhideWhenUsed/>
    <w:qFormat/>
    <w:rsid w:val="00726B4F"/>
    <w:pPr>
      <w:spacing w:after="100"/>
      <w:ind w:left="440"/>
    </w:pPr>
    <w:rPr>
      <w:rFonts w:eastAsiaTheme="minorEastAsia"/>
    </w:rPr>
  </w:style>
  <w:style w:type="paragraph" w:customStyle="1" w:styleId="Default">
    <w:name w:val="Default"/>
    <w:rsid w:val="00A762C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6101">
      <w:bodyDiv w:val="1"/>
      <w:marLeft w:val="0"/>
      <w:marRight w:val="0"/>
      <w:marTop w:val="0"/>
      <w:marBottom w:val="0"/>
      <w:divBdr>
        <w:top w:val="none" w:sz="0" w:space="0" w:color="auto"/>
        <w:left w:val="none" w:sz="0" w:space="0" w:color="auto"/>
        <w:bottom w:val="none" w:sz="0" w:space="0" w:color="auto"/>
        <w:right w:val="none" w:sz="0" w:space="0" w:color="auto"/>
      </w:divBdr>
    </w:div>
    <w:div w:id="795563550">
      <w:bodyDiv w:val="1"/>
      <w:marLeft w:val="0"/>
      <w:marRight w:val="0"/>
      <w:marTop w:val="0"/>
      <w:marBottom w:val="0"/>
      <w:divBdr>
        <w:top w:val="none" w:sz="0" w:space="0" w:color="auto"/>
        <w:left w:val="none" w:sz="0" w:space="0" w:color="auto"/>
        <w:bottom w:val="none" w:sz="0" w:space="0" w:color="auto"/>
        <w:right w:val="none" w:sz="0" w:space="0" w:color="auto"/>
      </w:divBdr>
    </w:div>
    <w:div w:id="1437366859">
      <w:bodyDiv w:val="1"/>
      <w:marLeft w:val="0"/>
      <w:marRight w:val="0"/>
      <w:marTop w:val="0"/>
      <w:marBottom w:val="0"/>
      <w:divBdr>
        <w:top w:val="none" w:sz="0" w:space="0" w:color="auto"/>
        <w:left w:val="none" w:sz="0" w:space="0" w:color="auto"/>
        <w:bottom w:val="none" w:sz="0" w:space="0" w:color="auto"/>
        <w:right w:val="none" w:sz="0" w:space="0" w:color="auto"/>
      </w:divBdr>
    </w:div>
    <w:div w:id="19660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32CD-95B9-4A12-AB5A-2C12E68B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2024-12-09T13:00:00Z</cp:lastPrinted>
  <dcterms:created xsi:type="dcterms:W3CDTF">2024-12-06T12:16:00Z</dcterms:created>
  <dcterms:modified xsi:type="dcterms:W3CDTF">2024-12-09T13:25:00Z</dcterms:modified>
</cp:coreProperties>
</file>